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D" w:rsidRDefault="008A771D">
      <w:bookmarkStart w:id="0" w:name="_GoBack"/>
      <w:bookmarkEnd w:id="0"/>
    </w:p>
    <w:p w:rsidR="00BF5AD3" w:rsidRPr="00BF5AD3" w:rsidRDefault="00A33711" w:rsidP="004C3EE8">
      <w:pPr>
        <w:pStyle w:val="Heading1"/>
        <w:spacing w:before="120" w:line="240" w:lineRule="auto"/>
        <w:jc w:val="center"/>
      </w:pPr>
      <w:r>
        <w:t>Referral Procedure</w:t>
      </w:r>
    </w:p>
    <w:p w:rsidR="008D3ECD" w:rsidRDefault="008D3ECD" w:rsidP="004C3EE8">
      <w:pPr>
        <w:pStyle w:val="Heading1"/>
        <w:spacing w:before="120" w:line="240" w:lineRule="auto"/>
        <w:jc w:val="center"/>
      </w:pPr>
      <w:r>
        <w:t>Standard Operating Procedure</w:t>
      </w:r>
    </w:p>
    <w:p w:rsidR="004C3EE8" w:rsidRPr="004C3EE8" w:rsidRDefault="00512278" w:rsidP="004C3EE8">
      <w:pPr>
        <w:pStyle w:val="Heading1"/>
        <w:spacing w:before="120" w:after="120" w:line="240" w:lineRule="auto"/>
        <w:jc w:val="center"/>
      </w:pPr>
      <w:r>
        <w:t>Mixed Homelessness Pathway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1985"/>
        <w:gridCol w:w="2410"/>
        <w:gridCol w:w="2409"/>
      </w:tblGrid>
      <w:tr w:rsidR="00D25911" w:rsidTr="00D25911">
        <w:tc>
          <w:tcPr>
            <w:tcW w:w="2376" w:type="dxa"/>
          </w:tcPr>
          <w:p w:rsidR="00D25911" w:rsidRPr="00D25911" w:rsidRDefault="00D25911" w:rsidP="00512278">
            <w:pPr>
              <w:rPr>
                <w:b/>
              </w:rPr>
            </w:pPr>
            <w:r w:rsidRPr="00D25911">
              <w:rPr>
                <w:b/>
              </w:rPr>
              <w:t>Author / Owner name</w:t>
            </w:r>
          </w:p>
        </w:tc>
        <w:tc>
          <w:tcPr>
            <w:tcW w:w="1985" w:type="dxa"/>
          </w:tcPr>
          <w:p w:rsidR="00D25911" w:rsidRDefault="00CB726B" w:rsidP="00512278">
            <w:r>
              <w:t>David Kelso</w:t>
            </w:r>
          </w:p>
          <w:p w:rsidR="00D25911" w:rsidRDefault="00D25911" w:rsidP="00512278"/>
        </w:tc>
        <w:tc>
          <w:tcPr>
            <w:tcW w:w="2410" w:type="dxa"/>
          </w:tcPr>
          <w:p w:rsidR="00D25911" w:rsidRPr="00D25911" w:rsidRDefault="00D25911" w:rsidP="00512278">
            <w:pPr>
              <w:rPr>
                <w:b/>
              </w:rPr>
            </w:pPr>
            <w:r w:rsidRPr="00D25911">
              <w:rPr>
                <w:b/>
              </w:rPr>
              <w:t>Creation Date</w:t>
            </w:r>
          </w:p>
        </w:tc>
        <w:tc>
          <w:tcPr>
            <w:tcW w:w="2409" w:type="dxa"/>
          </w:tcPr>
          <w:p w:rsidR="00D25911" w:rsidRDefault="001111E6" w:rsidP="00512278">
            <w:r>
              <w:t>13/03</w:t>
            </w:r>
            <w:r w:rsidR="00AD7483">
              <w:t>/18</w:t>
            </w:r>
          </w:p>
        </w:tc>
      </w:tr>
      <w:tr w:rsidR="00D25911" w:rsidTr="00D25911">
        <w:tc>
          <w:tcPr>
            <w:tcW w:w="2376" w:type="dxa"/>
          </w:tcPr>
          <w:p w:rsidR="00D25911" w:rsidRPr="00D25911" w:rsidRDefault="00D25911" w:rsidP="00512278">
            <w:pPr>
              <w:rPr>
                <w:b/>
              </w:rPr>
            </w:pPr>
            <w:r w:rsidRPr="00D25911">
              <w:rPr>
                <w:b/>
              </w:rPr>
              <w:t xml:space="preserve">Approval Date </w:t>
            </w:r>
          </w:p>
        </w:tc>
        <w:tc>
          <w:tcPr>
            <w:tcW w:w="1985" w:type="dxa"/>
          </w:tcPr>
          <w:p w:rsidR="00D25911" w:rsidRDefault="00933102" w:rsidP="00512278">
            <w:r>
              <w:t>25/05/18</w:t>
            </w:r>
          </w:p>
        </w:tc>
        <w:tc>
          <w:tcPr>
            <w:tcW w:w="2410" w:type="dxa"/>
          </w:tcPr>
          <w:p w:rsidR="00D25911" w:rsidRPr="00D25911" w:rsidRDefault="00D25911" w:rsidP="00512278">
            <w:pPr>
              <w:rPr>
                <w:b/>
              </w:rPr>
            </w:pPr>
          </w:p>
        </w:tc>
        <w:tc>
          <w:tcPr>
            <w:tcW w:w="2409" w:type="dxa"/>
          </w:tcPr>
          <w:p w:rsidR="00D25911" w:rsidRDefault="00D25911" w:rsidP="00512278"/>
        </w:tc>
      </w:tr>
      <w:tr w:rsidR="00D25911" w:rsidTr="00D25911">
        <w:tc>
          <w:tcPr>
            <w:tcW w:w="2376" w:type="dxa"/>
          </w:tcPr>
          <w:p w:rsidR="00D25911" w:rsidRPr="00D25911" w:rsidRDefault="00D25911" w:rsidP="00512278">
            <w:pPr>
              <w:rPr>
                <w:b/>
              </w:rPr>
            </w:pPr>
            <w:r w:rsidRPr="00D25911">
              <w:rPr>
                <w:b/>
              </w:rPr>
              <w:t>Review Date</w:t>
            </w:r>
          </w:p>
        </w:tc>
        <w:tc>
          <w:tcPr>
            <w:tcW w:w="1985" w:type="dxa"/>
          </w:tcPr>
          <w:p w:rsidR="00D25911" w:rsidRDefault="00E1184A" w:rsidP="00512278">
            <w:r>
              <w:t>14/05/19</w:t>
            </w:r>
          </w:p>
        </w:tc>
        <w:tc>
          <w:tcPr>
            <w:tcW w:w="2410" w:type="dxa"/>
          </w:tcPr>
          <w:p w:rsidR="00D25911" w:rsidRPr="00D25911" w:rsidRDefault="00D25911" w:rsidP="00512278">
            <w:pPr>
              <w:rPr>
                <w:b/>
              </w:rPr>
            </w:pPr>
            <w:r w:rsidRPr="00D25911">
              <w:rPr>
                <w:b/>
              </w:rPr>
              <w:t>Implementation date</w:t>
            </w:r>
          </w:p>
        </w:tc>
        <w:tc>
          <w:tcPr>
            <w:tcW w:w="2409" w:type="dxa"/>
          </w:tcPr>
          <w:p w:rsidR="00D25911" w:rsidRDefault="00DC70EE" w:rsidP="00512278">
            <w:r>
              <w:t>04/06/18</w:t>
            </w:r>
          </w:p>
        </w:tc>
      </w:tr>
    </w:tbl>
    <w:p w:rsidR="00CE2D70" w:rsidRDefault="00CE2D70" w:rsidP="004C3EE8">
      <w:pPr>
        <w:spacing w:before="240"/>
      </w:pPr>
      <w:r>
        <w:t xml:space="preserve">Acronyms 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257EA2" w:rsidTr="00257EA2">
        <w:tc>
          <w:tcPr>
            <w:tcW w:w="2802" w:type="dxa"/>
          </w:tcPr>
          <w:p w:rsidR="00257EA2" w:rsidRPr="00257EA2" w:rsidRDefault="00257EA2" w:rsidP="00D25911">
            <w:pPr>
              <w:rPr>
                <w:b/>
              </w:rPr>
            </w:pPr>
            <w:r w:rsidRPr="00257EA2">
              <w:rPr>
                <w:b/>
              </w:rPr>
              <w:t>ISAT</w:t>
            </w:r>
          </w:p>
        </w:tc>
        <w:tc>
          <w:tcPr>
            <w:tcW w:w="6237" w:type="dxa"/>
          </w:tcPr>
          <w:p w:rsidR="00257EA2" w:rsidRDefault="00257EA2" w:rsidP="00D25911">
            <w:r w:rsidRPr="00541D50">
              <w:t>Interim and Supported Accommodation Team</w:t>
            </w:r>
            <w:r w:rsidR="004C3EE8">
              <w:t xml:space="preserve"> (BCC staff)</w:t>
            </w:r>
          </w:p>
        </w:tc>
      </w:tr>
      <w:tr w:rsidR="00257EA2" w:rsidTr="00257EA2">
        <w:tc>
          <w:tcPr>
            <w:tcW w:w="2802" w:type="dxa"/>
          </w:tcPr>
          <w:p w:rsidR="00257EA2" w:rsidRPr="00257EA2" w:rsidRDefault="00257EA2" w:rsidP="00D25911">
            <w:pPr>
              <w:rPr>
                <w:b/>
              </w:rPr>
            </w:pPr>
            <w:r w:rsidRPr="00257EA2">
              <w:rPr>
                <w:b/>
              </w:rPr>
              <w:t>HSR</w:t>
            </w:r>
          </w:p>
        </w:tc>
        <w:tc>
          <w:tcPr>
            <w:tcW w:w="6237" w:type="dxa"/>
          </w:tcPr>
          <w:p w:rsidR="00257EA2" w:rsidRDefault="00257EA2" w:rsidP="00D25911">
            <w:r>
              <w:t>Housing Support Register</w:t>
            </w:r>
            <w:r w:rsidR="004C3EE8">
              <w:t xml:space="preserve"> (BCC staff)</w:t>
            </w:r>
          </w:p>
        </w:tc>
      </w:tr>
      <w:tr w:rsidR="00257EA2" w:rsidTr="00257EA2">
        <w:tc>
          <w:tcPr>
            <w:tcW w:w="2802" w:type="dxa"/>
          </w:tcPr>
          <w:p w:rsidR="00257EA2" w:rsidRPr="00257EA2" w:rsidRDefault="00257EA2" w:rsidP="00D25911">
            <w:pPr>
              <w:rPr>
                <w:b/>
              </w:rPr>
            </w:pPr>
            <w:r w:rsidRPr="00257EA2">
              <w:rPr>
                <w:b/>
              </w:rPr>
              <w:t>BCC</w:t>
            </w:r>
          </w:p>
        </w:tc>
        <w:tc>
          <w:tcPr>
            <w:tcW w:w="6237" w:type="dxa"/>
          </w:tcPr>
          <w:p w:rsidR="00257EA2" w:rsidRDefault="00257EA2" w:rsidP="00D25911">
            <w:r>
              <w:t>Bristol City Council</w:t>
            </w:r>
          </w:p>
        </w:tc>
      </w:tr>
      <w:tr w:rsidR="00257EA2" w:rsidTr="00257EA2">
        <w:tc>
          <w:tcPr>
            <w:tcW w:w="2802" w:type="dxa"/>
          </w:tcPr>
          <w:p w:rsidR="00257EA2" w:rsidRPr="00257EA2" w:rsidRDefault="00257EA2" w:rsidP="00D25911">
            <w:pPr>
              <w:rPr>
                <w:b/>
              </w:rPr>
            </w:pPr>
            <w:r w:rsidRPr="00257EA2">
              <w:rPr>
                <w:b/>
              </w:rPr>
              <w:t>HPT</w:t>
            </w:r>
          </w:p>
        </w:tc>
        <w:tc>
          <w:tcPr>
            <w:tcW w:w="6237" w:type="dxa"/>
          </w:tcPr>
          <w:p w:rsidR="00257EA2" w:rsidRDefault="00257EA2" w:rsidP="00D25911">
            <w:r>
              <w:t xml:space="preserve">Homeless Prevention Team </w:t>
            </w:r>
            <w:r w:rsidR="004C3EE8">
              <w:t>(BCC staff)</w:t>
            </w:r>
          </w:p>
        </w:tc>
      </w:tr>
      <w:tr w:rsidR="009246C6" w:rsidTr="00257EA2">
        <w:tc>
          <w:tcPr>
            <w:tcW w:w="2802" w:type="dxa"/>
          </w:tcPr>
          <w:p w:rsidR="009246C6" w:rsidRPr="00257EA2" w:rsidRDefault="009246C6" w:rsidP="00D25911">
            <w:pPr>
              <w:rPr>
                <w:b/>
              </w:rPr>
            </w:pPr>
            <w:r>
              <w:rPr>
                <w:b/>
              </w:rPr>
              <w:t>VNF</w:t>
            </w:r>
          </w:p>
        </w:tc>
        <w:tc>
          <w:tcPr>
            <w:tcW w:w="6237" w:type="dxa"/>
          </w:tcPr>
          <w:p w:rsidR="009246C6" w:rsidRDefault="009246C6" w:rsidP="00D25911">
            <w:r>
              <w:t>Void Notification Form</w:t>
            </w:r>
          </w:p>
        </w:tc>
      </w:tr>
      <w:tr w:rsidR="00027029" w:rsidTr="00257EA2">
        <w:tc>
          <w:tcPr>
            <w:tcW w:w="2802" w:type="dxa"/>
          </w:tcPr>
          <w:p w:rsidR="00027029" w:rsidRDefault="00027029" w:rsidP="00D25911">
            <w:pPr>
              <w:rPr>
                <w:b/>
              </w:rPr>
            </w:pPr>
            <w:r>
              <w:rPr>
                <w:b/>
              </w:rPr>
              <w:t>OMG</w:t>
            </w:r>
          </w:p>
        </w:tc>
        <w:tc>
          <w:tcPr>
            <w:tcW w:w="6237" w:type="dxa"/>
          </w:tcPr>
          <w:p w:rsidR="00027029" w:rsidRDefault="00027029" w:rsidP="00D25911">
            <w:r>
              <w:t xml:space="preserve">Operation Management Group </w:t>
            </w:r>
            <w:r w:rsidR="00A47BE7">
              <w:t>(Made of pathway partners)</w:t>
            </w:r>
          </w:p>
        </w:tc>
      </w:tr>
    </w:tbl>
    <w:p w:rsidR="00B56876" w:rsidRDefault="00257EA2" w:rsidP="00B56876">
      <w:pPr>
        <w:pStyle w:val="Heading2"/>
        <w:rPr>
          <w:rFonts w:ascii="Arial" w:hAnsi="Arial" w:cs="Arial"/>
          <w:sz w:val="32"/>
        </w:rPr>
      </w:pPr>
      <w:r w:rsidRPr="00C716D1">
        <w:rPr>
          <w:rFonts w:ascii="Arial" w:hAnsi="Arial" w:cs="Arial"/>
          <w:sz w:val="32"/>
        </w:rPr>
        <w:t>Scope</w:t>
      </w:r>
    </w:p>
    <w:p w:rsidR="00CB726B" w:rsidRPr="00CB726B" w:rsidRDefault="00CB726B" w:rsidP="00CB726B">
      <w:r>
        <w:t>This standard operating procedure</w:t>
      </w:r>
      <w:r w:rsidR="00162B7C">
        <w:t xml:space="preserve"> (SOP)</w:t>
      </w:r>
      <w:r>
        <w:t xml:space="preserve"> sets out the client referral process within the mixed homeless pathway from point of entry to exit</w:t>
      </w:r>
      <w:r w:rsidR="00162B7C">
        <w:t xml:space="preserve"> from homeless interventions</w:t>
      </w:r>
      <w:r>
        <w:t>.</w:t>
      </w:r>
    </w:p>
    <w:p w:rsidR="00B56876" w:rsidRDefault="00162B7C" w:rsidP="00D25911">
      <w:r>
        <w:t>This aims to</w:t>
      </w:r>
      <w:r w:rsidR="00DC673C">
        <w:t xml:space="preserve"> ensure</w:t>
      </w:r>
      <w:r w:rsidR="00B56876">
        <w:t xml:space="preserve"> </w:t>
      </w:r>
      <w:r w:rsidR="00DC673C">
        <w:t>that clients referred</w:t>
      </w:r>
      <w:r w:rsidR="00B56876">
        <w:t xml:space="preserve"> into the pathway</w:t>
      </w:r>
      <w:r w:rsidR="00DC673C">
        <w:t xml:space="preserve"> are managed through </w:t>
      </w:r>
      <w:r w:rsidR="00194B1D">
        <w:t xml:space="preserve">an </w:t>
      </w:r>
      <w:r w:rsidR="00DC673C">
        <w:t>efficient and inclusive process that supports them to move</w:t>
      </w:r>
      <w:r w:rsidR="00DC673C" w:rsidRPr="0064068E">
        <w:t xml:space="preserve"> quickly as possibly, regardless of which level the</w:t>
      </w:r>
      <w:r>
        <w:t>y came into, while ensuring the process provides</w:t>
      </w:r>
      <w:r w:rsidR="00DC673C" w:rsidRPr="0064068E">
        <w:t xml:space="preserve"> clients</w:t>
      </w:r>
      <w:r>
        <w:t xml:space="preserve"> with</w:t>
      </w:r>
      <w:r w:rsidR="00DC673C" w:rsidRPr="0064068E">
        <w:t xml:space="preserve"> the best chance of sustaining positive changes in their</w:t>
      </w:r>
      <w:r w:rsidR="00194B1D">
        <w:t xml:space="preserve"> lives</w:t>
      </w:r>
      <w:r w:rsidR="00DC673C" w:rsidRPr="0064068E">
        <w:t>.</w:t>
      </w:r>
    </w:p>
    <w:p w:rsidR="00EE7629" w:rsidRPr="00C716D1" w:rsidRDefault="00A33711" w:rsidP="00EE7629">
      <w:pPr>
        <w:pStyle w:val="Heading2"/>
        <w:spacing w:after="200"/>
        <w:rPr>
          <w:rFonts w:ascii="Arial" w:hAnsi="Arial" w:cs="Arial"/>
          <w:sz w:val="32"/>
          <w:szCs w:val="22"/>
        </w:rPr>
      </w:pPr>
      <w:r w:rsidRPr="00C716D1">
        <w:rPr>
          <w:rFonts w:ascii="Arial" w:hAnsi="Arial" w:cs="Arial"/>
          <w:sz w:val="32"/>
          <w:szCs w:val="22"/>
        </w:rPr>
        <w:t xml:space="preserve">Level 1 </w:t>
      </w:r>
      <w:r w:rsidR="00145371" w:rsidRPr="00C716D1">
        <w:rPr>
          <w:rFonts w:ascii="Arial" w:hAnsi="Arial" w:cs="Arial"/>
          <w:sz w:val="32"/>
          <w:szCs w:val="22"/>
        </w:rPr>
        <w:t xml:space="preserve">Referrals </w:t>
      </w:r>
    </w:p>
    <w:p w:rsidR="00DF2417" w:rsidRDefault="00DF2417" w:rsidP="00DF2417">
      <w:pPr>
        <w:pStyle w:val="Heading2"/>
      </w:pPr>
      <w:r>
        <w:t>Background</w:t>
      </w:r>
    </w:p>
    <w:p w:rsidR="00257EA2" w:rsidRDefault="00257EA2" w:rsidP="00DF2417">
      <w:r>
        <w:t xml:space="preserve">People at risk of homelessness or currently homeless present at BCC service points, e.g. 100 Temple Street.  BCC assess suitability </w:t>
      </w:r>
      <w:r w:rsidR="00D80B40">
        <w:t>based on:</w:t>
      </w:r>
    </w:p>
    <w:p w:rsidR="00D80B40" w:rsidRPr="00D80B40" w:rsidRDefault="00D80B40" w:rsidP="00D80B4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0B40">
        <w:rPr>
          <w:rFonts w:ascii="Arial" w:hAnsi="Arial" w:cs="Arial"/>
        </w:rPr>
        <w:t>Risk</w:t>
      </w:r>
    </w:p>
    <w:p w:rsidR="00D80B40" w:rsidRPr="00D80B40" w:rsidRDefault="00D80B40" w:rsidP="00D80B4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0B40">
        <w:rPr>
          <w:rFonts w:ascii="Arial" w:hAnsi="Arial" w:cs="Arial"/>
        </w:rPr>
        <w:t xml:space="preserve">Needs </w:t>
      </w:r>
    </w:p>
    <w:p w:rsidR="00D80B40" w:rsidRDefault="00D80B40" w:rsidP="00DF2417">
      <w:r>
        <w:t>Suitable candidates are added to HSR</w:t>
      </w:r>
      <w:r w:rsidR="00705C53">
        <w:t xml:space="preserve"> </w:t>
      </w:r>
      <w:r w:rsidR="00E626FE">
        <w:t xml:space="preserve">and flagged up to pathway </w:t>
      </w:r>
      <w:r w:rsidR="00705C53">
        <w:t>accommodation providers</w:t>
      </w:r>
    </w:p>
    <w:p w:rsidR="009433DC" w:rsidRPr="00C716D1" w:rsidRDefault="009433DC" w:rsidP="009931BF">
      <w:pPr>
        <w:pStyle w:val="Heading3"/>
        <w:rPr>
          <w:rFonts w:ascii="Arial" w:hAnsi="Arial" w:cs="Arial"/>
        </w:rPr>
      </w:pPr>
      <w:r w:rsidRPr="00C716D1">
        <w:rPr>
          <w:rFonts w:ascii="Arial" w:hAnsi="Arial" w:cs="Arial"/>
        </w:rPr>
        <w:t>Process</w:t>
      </w:r>
    </w:p>
    <w:p w:rsidR="00E626FE" w:rsidRDefault="009246C6" w:rsidP="00E626FE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Vacant room; when a room becomes vacant, accommodation provider completes a Void notification form which is returned to ISAT</w:t>
      </w:r>
      <w:r w:rsidR="00E626FE">
        <w:rPr>
          <w:rFonts w:ascii="Arial" w:hAnsi="Arial" w:cs="Arial"/>
        </w:rPr>
        <w:t xml:space="preserve"> email address:</w:t>
      </w:r>
      <w:r w:rsidR="00E626FE">
        <w:rPr>
          <w:rFonts w:ascii="Arial" w:hAnsi="Arial" w:cs="Arial"/>
        </w:rPr>
        <w:br/>
      </w:r>
    </w:p>
    <w:p w:rsidR="002B0732" w:rsidRPr="002B0732" w:rsidRDefault="002B0732" w:rsidP="002B0732">
      <w:pPr>
        <w:pStyle w:val="ListParagraph"/>
        <w:spacing w:before="120"/>
        <w:ind w:firstLine="720"/>
        <w:rPr>
          <w:rFonts w:ascii="Arial" w:hAnsi="Arial" w:cs="Arial"/>
          <w:b/>
        </w:rPr>
      </w:pPr>
      <w:r w:rsidRPr="002B0732">
        <w:rPr>
          <w:rFonts w:ascii="Arial" w:hAnsi="Arial" w:cs="Arial"/>
          <w:b/>
        </w:rPr>
        <w:t>Accommodation.services@bristol.gov.uk</w:t>
      </w:r>
    </w:p>
    <w:p w:rsidR="002B0732" w:rsidRPr="00E626FE" w:rsidRDefault="002B0732" w:rsidP="002B0732">
      <w:pPr>
        <w:pStyle w:val="ListParagraph"/>
        <w:spacing w:before="120"/>
        <w:rPr>
          <w:rFonts w:ascii="Arial" w:hAnsi="Arial" w:cs="Arial"/>
        </w:rPr>
      </w:pPr>
    </w:p>
    <w:p w:rsidR="009931BF" w:rsidRPr="009931BF" w:rsidRDefault="009246C6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ISAT nominates top priority client for service, and notifies </w:t>
      </w:r>
      <w:r w:rsidR="00D6140C">
        <w:rPr>
          <w:rFonts w:ascii="Arial" w:hAnsi="Arial" w:cs="Arial"/>
        </w:rPr>
        <w:t>accommodation provider via email</w:t>
      </w:r>
      <w:r w:rsidR="004C3EE8">
        <w:rPr>
          <w:rFonts w:ascii="Arial" w:hAnsi="Arial" w:cs="Arial"/>
        </w:rPr>
        <w:br/>
      </w:r>
    </w:p>
    <w:p w:rsidR="009931BF" w:rsidRPr="009931BF" w:rsidRDefault="009433DC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 w:rsidRPr="009433DC">
        <w:rPr>
          <w:rFonts w:ascii="Arial" w:hAnsi="Arial" w:cs="Arial"/>
        </w:rPr>
        <w:lastRenderedPageBreak/>
        <w:t>Accommodation provider logs in to the HSR system and check</w:t>
      </w:r>
      <w:r>
        <w:rPr>
          <w:rFonts w:ascii="Arial" w:hAnsi="Arial" w:cs="Arial"/>
        </w:rPr>
        <w:t>s client</w:t>
      </w:r>
      <w:r w:rsidRPr="009433DC">
        <w:rPr>
          <w:rFonts w:ascii="Arial" w:hAnsi="Arial" w:cs="Arial"/>
        </w:rPr>
        <w:t xml:space="preserve"> </w:t>
      </w:r>
      <w:r w:rsidR="00D6140C">
        <w:rPr>
          <w:rFonts w:ascii="Arial" w:hAnsi="Arial" w:cs="Arial"/>
        </w:rPr>
        <w:t>referral</w:t>
      </w:r>
      <w:r w:rsidRPr="009433DC">
        <w:rPr>
          <w:rFonts w:ascii="Arial" w:hAnsi="Arial" w:cs="Arial"/>
        </w:rPr>
        <w:t xml:space="preserve"> </w:t>
      </w:r>
      <w:r w:rsidR="009931BF">
        <w:rPr>
          <w:rFonts w:ascii="Arial" w:hAnsi="Arial" w:cs="Arial"/>
        </w:rPr>
        <w:br/>
      </w:r>
    </w:p>
    <w:p w:rsidR="009433DC" w:rsidRDefault="009433DC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Assess clients suitability </w:t>
      </w:r>
      <w:r w:rsidR="00961F47">
        <w:rPr>
          <w:rFonts w:ascii="Arial" w:hAnsi="Arial" w:cs="Arial"/>
        </w:rPr>
        <w:t xml:space="preserve">for support </w:t>
      </w:r>
      <w:r>
        <w:rPr>
          <w:rFonts w:ascii="Arial" w:hAnsi="Arial" w:cs="Arial"/>
        </w:rPr>
        <w:t>based on:</w:t>
      </w:r>
      <w:r w:rsidR="009931BF">
        <w:rPr>
          <w:rFonts w:ascii="Arial" w:hAnsi="Arial" w:cs="Arial"/>
        </w:rPr>
        <w:br/>
      </w:r>
    </w:p>
    <w:p w:rsidR="009433DC" w:rsidRDefault="009433DC" w:rsidP="009931BF">
      <w:pPr>
        <w:pStyle w:val="ListParagraph"/>
        <w:numPr>
          <w:ilvl w:val="1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Risk (to themselves and other clients within the service)</w:t>
      </w:r>
    </w:p>
    <w:p w:rsidR="009433DC" w:rsidRDefault="009433DC" w:rsidP="009931BF">
      <w:pPr>
        <w:pStyle w:val="ListParagraph"/>
        <w:numPr>
          <w:ilvl w:val="1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Clients needs (can the service provide support </w:t>
      </w:r>
      <w:r w:rsidR="00457262">
        <w:rPr>
          <w:rFonts w:ascii="Arial" w:hAnsi="Arial" w:cs="Arial"/>
        </w:rPr>
        <w:t>to move the client forward)</w:t>
      </w:r>
      <w:r w:rsidR="009931BF">
        <w:rPr>
          <w:rFonts w:ascii="Arial" w:hAnsi="Arial" w:cs="Arial"/>
        </w:rPr>
        <w:br/>
      </w:r>
    </w:p>
    <w:p w:rsidR="002C3ABB" w:rsidRDefault="000636E6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Accommodation provider </w:t>
      </w:r>
      <w:r w:rsidR="002C3ABB">
        <w:rPr>
          <w:rFonts w:ascii="Arial" w:hAnsi="Arial" w:cs="Arial"/>
        </w:rPr>
        <w:t>Inform</w:t>
      </w:r>
      <w:r w:rsidR="003D2FD1">
        <w:rPr>
          <w:rFonts w:ascii="Arial" w:hAnsi="Arial" w:cs="Arial"/>
        </w:rPr>
        <w:t>s</w:t>
      </w:r>
      <w:r w:rsidR="002C3ABB">
        <w:rPr>
          <w:rFonts w:ascii="Arial" w:hAnsi="Arial" w:cs="Arial"/>
        </w:rPr>
        <w:t xml:space="preserve"> ISAT of decision accept o</w:t>
      </w:r>
      <w:r w:rsidR="00877500">
        <w:rPr>
          <w:rFonts w:ascii="Arial" w:hAnsi="Arial" w:cs="Arial"/>
        </w:rPr>
        <w:t>r</w:t>
      </w:r>
      <w:r w:rsidR="002C3ABB">
        <w:rPr>
          <w:rFonts w:ascii="Arial" w:hAnsi="Arial" w:cs="Arial"/>
        </w:rPr>
        <w:t xml:space="preserve"> reject</w:t>
      </w:r>
      <w:r w:rsidR="009931BF">
        <w:rPr>
          <w:rFonts w:ascii="Arial" w:hAnsi="Arial" w:cs="Arial"/>
        </w:rPr>
        <w:br/>
      </w:r>
    </w:p>
    <w:p w:rsidR="002C3ABB" w:rsidRDefault="003D2FD1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 w:rsidRPr="008A2B7B">
        <w:rPr>
          <w:rFonts w:ascii="Arial" w:hAnsi="Arial" w:cs="Arial"/>
          <w:b/>
        </w:rPr>
        <w:t xml:space="preserve">Client </w:t>
      </w:r>
      <w:r w:rsidR="008A2B7B" w:rsidRPr="008A2B7B">
        <w:rPr>
          <w:rFonts w:ascii="Arial" w:hAnsi="Arial" w:cs="Arial"/>
          <w:b/>
        </w:rPr>
        <w:t>Accepted</w:t>
      </w:r>
      <w:r>
        <w:rPr>
          <w:rFonts w:ascii="Arial" w:hAnsi="Arial" w:cs="Arial"/>
        </w:rPr>
        <w:t xml:space="preserve"> :</w:t>
      </w:r>
      <w:r w:rsidR="002C3ABB">
        <w:rPr>
          <w:rFonts w:ascii="Arial" w:hAnsi="Arial" w:cs="Arial"/>
        </w:rPr>
        <w:t xml:space="preserve">ISAT arrange </w:t>
      </w:r>
      <w:r w:rsidR="0057557B">
        <w:rPr>
          <w:rFonts w:ascii="Arial" w:hAnsi="Arial" w:cs="Arial"/>
        </w:rPr>
        <w:t>face to face meeting betwee</w:t>
      </w:r>
      <w:r w:rsidR="002C3ABB">
        <w:rPr>
          <w:rFonts w:ascii="Arial" w:hAnsi="Arial" w:cs="Arial"/>
        </w:rPr>
        <w:t xml:space="preserve">n client </w:t>
      </w:r>
      <w:r w:rsidR="0057557B">
        <w:rPr>
          <w:rFonts w:ascii="Arial" w:hAnsi="Arial" w:cs="Arial"/>
        </w:rPr>
        <w:t>and accommodation provider</w:t>
      </w:r>
      <w:r w:rsidR="000636E6">
        <w:rPr>
          <w:rFonts w:ascii="Arial" w:hAnsi="Arial" w:cs="Arial"/>
        </w:rPr>
        <w:t xml:space="preserve"> </w:t>
      </w:r>
      <w:r w:rsidR="009931BF">
        <w:rPr>
          <w:rFonts w:ascii="Arial" w:hAnsi="Arial" w:cs="Arial"/>
        </w:rPr>
        <w:br/>
      </w:r>
    </w:p>
    <w:p w:rsidR="00393B3C" w:rsidRDefault="000636E6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Accommodation provider carries out face to face client assessment based upon:</w:t>
      </w:r>
      <w:r w:rsidR="009931BF">
        <w:rPr>
          <w:rFonts w:ascii="Arial" w:hAnsi="Arial" w:cs="Arial"/>
        </w:rPr>
        <w:br/>
      </w:r>
    </w:p>
    <w:p w:rsidR="00457262" w:rsidRDefault="00457262" w:rsidP="009931BF">
      <w:pPr>
        <w:pStyle w:val="ListParagraph"/>
        <w:numPr>
          <w:ilvl w:val="1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Risk (to themselves and other clients within the service)</w:t>
      </w:r>
    </w:p>
    <w:p w:rsidR="00144A72" w:rsidRDefault="00457262" w:rsidP="009931BF">
      <w:pPr>
        <w:pStyle w:val="ListParagraph"/>
        <w:numPr>
          <w:ilvl w:val="1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Clients needs (can the service provide support to move the client forward)</w:t>
      </w:r>
      <w:r w:rsidR="009931BF">
        <w:rPr>
          <w:rFonts w:ascii="Arial" w:hAnsi="Arial" w:cs="Arial"/>
        </w:rPr>
        <w:br/>
      </w:r>
    </w:p>
    <w:p w:rsidR="00144A72" w:rsidRPr="00144A72" w:rsidRDefault="00144A72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 w:rsidRPr="00144A72">
        <w:rPr>
          <w:rFonts w:ascii="Arial" w:hAnsi="Arial" w:cs="Arial"/>
          <w:color w:val="000000"/>
          <w:szCs w:val="16"/>
        </w:rPr>
        <w:t>Client accepted by service. VNF completed by pathway accommodation provider, indicating date of move.  Forms returned to HSR email address:</w:t>
      </w:r>
      <w:r w:rsidR="009931BF">
        <w:rPr>
          <w:rFonts w:ascii="Arial" w:hAnsi="Arial" w:cs="Arial"/>
          <w:color w:val="000000"/>
          <w:szCs w:val="16"/>
        </w:rPr>
        <w:br/>
      </w:r>
    </w:p>
    <w:p w:rsidR="00457262" w:rsidRDefault="006E5A51" w:rsidP="009931BF">
      <w:pPr>
        <w:pStyle w:val="ListParagraph"/>
        <w:spacing w:before="120"/>
        <w:ind w:firstLine="720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Accommodation.</w:t>
      </w:r>
      <w:r w:rsidR="009931BF" w:rsidRPr="009931BF">
        <w:rPr>
          <w:rFonts w:ascii="Arial" w:hAnsi="Arial" w:cs="Arial"/>
          <w:b/>
          <w:bCs/>
          <w:color w:val="000000"/>
          <w:szCs w:val="16"/>
        </w:rPr>
        <w:t>services@bristol.gov.uk</w:t>
      </w:r>
      <w:r w:rsidR="009931BF">
        <w:rPr>
          <w:rFonts w:ascii="Arial" w:hAnsi="Arial" w:cs="Arial"/>
          <w:b/>
          <w:bCs/>
          <w:color w:val="000000"/>
          <w:szCs w:val="16"/>
        </w:rPr>
        <w:br/>
      </w:r>
    </w:p>
    <w:p w:rsidR="009931BF" w:rsidRDefault="009931BF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Cs/>
          <w:color w:val="000000"/>
          <w:szCs w:val="16"/>
        </w:rPr>
        <w:t>ISAT update HSR with address and remove</w:t>
      </w:r>
      <w:r w:rsidR="008A2B7B">
        <w:rPr>
          <w:rFonts w:ascii="Arial" w:hAnsi="Arial" w:cs="Arial"/>
          <w:bCs/>
          <w:color w:val="000000"/>
          <w:szCs w:val="16"/>
        </w:rPr>
        <w:t>s</w:t>
      </w:r>
      <w:r>
        <w:rPr>
          <w:rFonts w:ascii="Arial" w:hAnsi="Arial" w:cs="Arial"/>
          <w:bCs/>
          <w:color w:val="000000"/>
          <w:szCs w:val="16"/>
        </w:rPr>
        <w:t xml:space="preserve"> client from priority list</w:t>
      </w:r>
      <w:r>
        <w:rPr>
          <w:rFonts w:ascii="Arial" w:hAnsi="Arial" w:cs="Arial"/>
          <w:bCs/>
          <w:color w:val="000000"/>
          <w:szCs w:val="16"/>
        </w:rPr>
        <w:br/>
      </w:r>
    </w:p>
    <w:p w:rsidR="00E8386C" w:rsidRDefault="009931BF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Cs w:val="16"/>
        </w:rPr>
      </w:pPr>
      <w:r w:rsidRPr="008A2B7B">
        <w:rPr>
          <w:rFonts w:ascii="Arial" w:hAnsi="Arial" w:cs="Arial"/>
          <w:b/>
          <w:bCs/>
          <w:color w:val="000000"/>
          <w:szCs w:val="16"/>
        </w:rPr>
        <w:t>Client Rejected</w:t>
      </w:r>
      <w:r>
        <w:rPr>
          <w:rFonts w:ascii="Arial" w:hAnsi="Arial" w:cs="Arial"/>
          <w:bCs/>
          <w:color w:val="000000"/>
          <w:szCs w:val="16"/>
        </w:rPr>
        <w:t xml:space="preserve"> by accommodation provider; ISAT nominate next priority client</w:t>
      </w:r>
      <w:r w:rsidR="00C716D1">
        <w:rPr>
          <w:rFonts w:ascii="Arial" w:hAnsi="Arial" w:cs="Arial"/>
          <w:bCs/>
          <w:color w:val="000000"/>
          <w:szCs w:val="16"/>
        </w:rPr>
        <w:br/>
      </w:r>
    </w:p>
    <w:p w:rsidR="00C716D1" w:rsidRDefault="00C716D1" w:rsidP="009931BF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Cs w:val="16"/>
        </w:rPr>
      </w:pPr>
      <w:r>
        <w:rPr>
          <w:rFonts w:ascii="Arial" w:hAnsi="Arial" w:cs="Arial"/>
          <w:bCs/>
          <w:color w:val="000000"/>
          <w:szCs w:val="16"/>
        </w:rPr>
        <w:t>Accommodation provider completes room checks and prepares a welcome pack ready for client to move in.</w:t>
      </w:r>
    </w:p>
    <w:p w:rsidR="00257EA2" w:rsidRPr="00C716D1" w:rsidRDefault="00DF13C4" w:rsidP="00C84B47">
      <w:pPr>
        <w:rPr>
          <w:b/>
        </w:rPr>
      </w:pPr>
      <w:r>
        <w:rPr>
          <w:b/>
        </w:rPr>
        <w:t>Process Map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</w:t>
      </w:r>
      <w:r w:rsidR="006E65DD" w:rsidRPr="00C716D1">
        <w:rPr>
          <w:b/>
        </w:rPr>
        <w:t>ee appendix 1</w:t>
      </w:r>
    </w:p>
    <w:p w:rsidR="00B92A2C" w:rsidRDefault="006634B7" w:rsidP="00C84B47">
      <w:pPr>
        <w:rPr>
          <w:b/>
        </w:rPr>
      </w:pPr>
      <w:r>
        <w:rPr>
          <w:b/>
        </w:rPr>
        <w:t>Void Notification form:</w:t>
      </w:r>
      <w:r>
        <w:rPr>
          <w:b/>
        </w:rPr>
        <w:tab/>
      </w:r>
      <w:r>
        <w:rPr>
          <w:b/>
        </w:rPr>
        <w:tab/>
      </w:r>
      <w:r w:rsidR="00DF13C4">
        <w:rPr>
          <w:b/>
        </w:rPr>
        <w:tab/>
      </w:r>
      <w:r w:rsidR="00DF13C4">
        <w:rPr>
          <w:b/>
        </w:rPr>
        <w:tab/>
      </w:r>
      <w:r w:rsidR="00DF13C4">
        <w:rPr>
          <w:b/>
        </w:rPr>
        <w:tab/>
      </w:r>
      <w:r w:rsidR="00DF13C4">
        <w:rPr>
          <w:b/>
        </w:rPr>
        <w:tab/>
      </w:r>
      <w:r w:rsidR="00DF13C4">
        <w:rPr>
          <w:b/>
        </w:rPr>
        <w:tab/>
      </w:r>
      <w:r w:rsidR="00B92A2C">
        <w:rPr>
          <w:b/>
        </w:rPr>
        <w:t xml:space="preserve">See appendix </w:t>
      </w:r>
      <w:r w:rsidR="00DF13C4">
        <w:rPr>
          <w:b/>
        </w:rPr>
        <w:t>2</w:t>
      </w:r>
    </w:p>
    <w:p w:rsidR="00C716D1" w:rsidRDefault="00877500" w:rsidP="00C716D1">
      <w:pPr>
        <w:pStyle w:val="Heading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Level 1</w:t>
      </w:r>
      <w:r w:rsidR="00FB2A46">
        <w:rPr>
          <w:rFonts w:ascii="Arial" w:hAnsi="Arial" w:cs="Arial"/>
          <w:sz w:val="32"/>
        </w:rPr>
        <w:t xml:space="preserve"> </w:t>
      </w:r>
      <w:r w:rsidR="00C716D1" w:rsidRPr="00C716D1">
        <w:rPr>
          <w:rFonts w:ascii="Arial" w:hAnsi="Arial" w:cs="Arial"/>
          <w:sz w:val="32"/>
        </w:rPr>
        <w:t>Outreach Access beds</w:t>
      </w:r>
    </w:p>
    <w:p w:rsidR="00C716D1" w:rsidRPr="00C716D1" w:rsidRDefault="00C716D1" w:rsidP="00C716D1">
      <w:pPr>
        <w:pStyle w:val="Heading2"/>
        <w:rPr>
          <w:rFonts w:ascii="Arial" w:hAnsi="Arial" w:cs="Arial"/>
          <w:sz w:val="22"/>
        </w:rPr>
      </w:pPr>
      <w:r w:rsidRPr="00C716D1">
        <w:rPr>
          <w:rFonts w:ascii="Arial" w:hAnsi="Arial" w:cs="Arial"/>
          <w:sz w:val="22"/>
        </w:rPr>
        <w:t>Background</w:t>
      </w:r>
    </w:p>
    <w:p w:rsidR="00EC5173" w:rsidRDefault="00EC5173" w:rsidP="00C716D1">
      <w:r>
        <w:t xml:space="preserve">Outreach Access Beds are designed for clients who are rough sleeping and have been engaged by the St Mungo’s outreach team.  </w:t>
      </w:r>
    </w:p>
    <w:p w:rsidR="00877500" w:rsidRDefault="00877500" w:rsidP="00C716D1">
      <w:r>
        <w:t>To access the outreach access beds clients are nominated by BCC directly to the outreach team for service assessment.</w:t>
      </w:r>
    </w:p>
    <w:p w:rsidR="00C716D1" w:rsidRPr="00474BD2" w:rsidRDefault="00C716D1" w:rsidP="00474BD2">
      <w:pPr>
        <w:pStyle w:val="Heading2"/>
        <w:rPr>
          <w:rFonts w:ascii="Arial" w:hAnsi="Arial" w:cs="Arial"/>
          <w:sz w:val="22"/>
        </w:rPr>
      </w:pPr>
      <w:r w:rsidRPr="00C716D1">
        <w:rPr>
          <w:rFonts w:ascii="Arial" w:hAnsi="Arial" w:cs="Arial"/>
          <w:sz w:val="22"/>
        </w:rPr>
        <w:t>Process</w:t>
      </w:r>
    </w:p>
    <w:p w:rsidR="00C716D1" w:rsidRDefault="00C716D1" w:rsidP="00C716D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BCC HPT contact outreach team at St Mungo’s to nominate </w:t>
      </w:r>
      <w:r w:rsidR="00877500">
        <w:rPr>
          <w:rFonts w:ascii="Arial" w:hAnsi="Arial" w:cs="Arial"/>
        </w:rPr>
        <w:t>client</w:t>
      </w:r>
    </w:p>
    <w:p w:rsidR="00877500" w:rsidRPr="00877500" w:rsidRDefault="00877500" w:rsidP="0087750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Outreach team assess client suitability </w:t>
      </w:r>
      <w:r w:rsidRPr="00877500">
        <w:rPr>
          <w:rFonts w:ascii="Arial" w:hAnsi="Arial" w:cs="Arial"/>
        </w:rPr>
        <w:t>based on:</w:t>
      </w:r>
      <w:r w:rsidRPr="00877500">
        <w:rPr>
          <w:rFonts w:ascii="Arial" w:hAnsi="Arial" w:cs="Arial"/>
        </w:rPr>
        <w:br/>
      </w:r>
    </w:p>
    <w:p w:rsidR="00877500" w:rsidRDefault="00877500" w:rsidP="00877500">
      <w:pPr>
        <w:pStyle w:val="ListParagraph"/>
        <w:numPr>
          <w:ilvl w:val="1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Risk (to themselves and other clients within the service)</w:t>
      </w:r>
    </w:p>
    <w:p w:rsidR="00877500" w:rsidRDefault="00877500" w:rsidP="00877500">
      <w:pPr>
        <w:pStyle w:val="ListParagraph"/>
        <w:numPr>
          <w:ilvl w:val="1"/>
          <w:numId w:val="13"/>
        </w:numPr>
        <w:spacing w:before="120"/>
        <w:rPr>
          <w:rFonts w:ascii="Arial" w:hAnsi="Arial" w:cs="Arial"/>
        </w:rPr>
      </w:pPr>
      <w:r w:rsidRPr="00877500">
        <w:rPr>
          <w:rFonts w:ascii="Arial" w:hAnsi="Arial" w:cs="Arial"/>
        </w:rPr>
        <w:t>Clients needs (can the service provide support to move the client forward)</w:t>
      </w:r>
    </w:p>
    <w:p w:rsidR="00877500" w:rsidRDefault="00877500" w:rsidP="00877500">
      <w:pPr>
        <w:pStyle w:val="ListParagraph"/>
        <w:spacing w:before="120"/>
        <w:ind w:left="1440"/>
        <w:rPr>
          <w:rFonts w:ascii="Arial" w:hAnsi="Arial" w:cs="Arial"/>
        </w:rPr>
      </w:pPr>
    </w:p>
    <w:p w:rsidR="00877500" w:rsidRDefault="00877500" w:rsidP="00877500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Accommodation provider Inform</w:t>
      </w:r>
      <w:r w:rsidR="00E13B1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ISAT of decision </w:t>
      </w:r>
      <w:r w:rsidR="00E13B1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accept or reject</w:t>
      </w:r>
      <w:r>
        <w:rPr>
          <w:rFonts w:ascii="Arial" w:hAnsi="Arial" w:cs="Arial"/>
        </w:rPr>
        <w:br/>
      </w:r>
    </w:p>
    <w:p w:rsidR="00877500" w:rsidRDefault="00877500" w:rsidP="00877500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ISAT arrange face to face meeting between client and accommodation provider </w:t>
      </w:r>
      <w:r>
        <w:rPr>
          <w:rFonts w:ascii="Arial" w:hAnsi="Arial" w:cs="Arial"/>
        </w:rPr>
        <w:br/>
      </w:r>
    </w:p>
    <w:p w:rsidR="00877500" w:rsidRDefault="00877500" w:rsidP="00877500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Accommodation provider carries out face to face client assessment based upon:</w:t>
      </w:r>
      <w:r>
        <w:rPr>
          <w:rFonts w:ascii="Arial" w:hAnsi="Arial" w:cs="Arial"/>
        </w:rPr>
        <w:br/>
      </w:r>
    </w:p>
    <w:p w:rsidR="00877500" w:rsidRDefault="00877500" w:rsidP="00877500">
      <w:pPr>
        <w:pStyle w:val="ListParagraph"/>
        <w:numPr>
          <w:ilvl w:val="1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Risk (to themselves and other clients within the service)</w:t>
      </w:r>
    </w:p>
    <w:p w:rsidR="00877500" w:rsidRDefault="00877500" w:rsidP="00877500">
      <w:pPr>
        <w:pStyle w:val="ListParagraph"/>
        <w:numPr>
          <w:ilvl w:val="1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Clients needs (can the service provide support to move the client forward)</w:t>
      </w:r>
      <w:r>
        <w:rPr>
          <w:rFonts w:ascii="Arial" w:hAnsi="Arial" w:cs="Arial"/>
        </w:rPr>
        <w:br/>
      </w:r>
    </w:p>
    <w:p w:rsidR="00877500" w:rsidRPr="00144A72" w:rsidRDefault="00877500" w:rsidP="00877500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</w:rPr>
      </w:pPr>
      <w:r w:rsidRPr="00572C08">
        <w:rPr>
          <w:rFonts w:ascii="Arial" w:hAnsi="Arial" w:cs="Arial"/>
          <w:b/>
          <w:color w:val="000000"/>
          <w:szCs w:val="16"/>
        </w:rPr>
        <w:t>Client accepted by service</w:t>
      </w:r>
      <w:r w:rsidRPr="00144A72">
        <w:rPr>
          <w:rFonts w:ascii="Arial" w:hAnsi="Arial" w:cs="Arial"/>
          <w:color w:val="000000"/>
          <w:szCs w:val="16"/>
        </w:rPr>
        <w:t>. VNF completed by pathway accommodation provider, indicating date of move.  Forms returned to HSR email address:</w:t>
      </w:r>
      <w:r>
        <w:rPr>
          <w:rFonts w:ascii="Arial" w:hAnsi="Arial" w:cs="Arial"/>
          <w:color w:val="000000"/>
          <w:szCs w:val="16"/>
        </w:rPr>
        <w:br/>
      </w:r>
    </w:p>
    <w:p w:rsidR="00877500" w:rsidRDefault="00877500" w:rsidP="00877500">
      <w:pPr>
        <w:pStyle w:val="ListParagraph"/>
        <w:spacing w:before="120"/>
        <w:ind w:firstLine="720"/>
        <w:rPr>
          <w:rFonts w:ascii="Arial" w:hAnsi="Arial" w:cs="Arial"/>
          <w:b/>
          <w:bCs/>
          <w:color w:val="000000"/>
          <w:szCs w:val="16"/>
        </w:rPr>
      </w:pPr>
      <w:r w:rsidRPr="009931BF">
        <w:rPr>
          <w:rFonts w:ascii="Arial" w:hAnsi="Arial" w:cs="Arial"/>
          <w:b/>
          <w:bCs/>
          <w:color w:val="000000"/>
          <w:szCs w:val="16"/>
        </w:rPr>
        <w:t>accommdationservices@bristol.gov.uk</w:t>
      </w:r>
      <w:r>
        <w:rPr>
          <w:rFonts w:ascii="Arial" w:hAnsi="Arial" w:cs="Arial"/>
          <w:b/>
          <w:bCs/>
          <w:color w:val="000000"/>
          <w:szCs w:val="16"/>
        </w:rPr>
        <w:br/>
      </w:r>
    </w:p>
    <w:p w:rsidR="00572C08" w:rsidRDefault="00572C08" w:rsidP="00572C08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Cs/>
          <w:color w:val="000000"/>
          <w:szCs w:val="16"/>
        </w:rPr>
      </w:pPr>
      <w:r>
        <w:rPr>
          <w:rFonts w:ascii="Arial" w:hAnsi="Arial" w:cs="Arial"/>
          <w:bCs/>
          <w:color w:val="000000"/>
          <w:szCs w:val="16"/>
        </w:rPr>
        <w:t>Accommodation provider completes room checks and prepares a welcome pack ready for client to move in.</w:t>
      </w:r>
    </w:p>
    <w:p w:rsidR="00572C08" w:rsidRPr="00572C08" w:rsidRDefault="00572C08" w:rsidP="00572C08">
      <w:pPr>
        <w:pStyle w:val="ListParagraph"/>
        <w:spacing w:before="120"/>
        <w:rPr>
          <w:rFonts w:ascii="Arial" w:hAnsi="Arial" w:cs="Arial"/>
          <w:b/>
          <w:bCs/>
          <w:color w:val="000000"/>
          <w:szCs w:val="16"/>
        </w:rPr>
      </w:pPr>
    </w:p>
    <w:p w:rsidR="00877500" w:rsidRDefault="00877500" w:rsidP="00877500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Cs/>
          <w:color w:val="000000"/>
          <w:szCs w:val="16"/>
        </w:rPr>
        <w:t>ISAT update HSR with address and remove client from priority list</w:t>
      </w:r>
      <w:r>
        <w:rPr>
          <w:rFonts w:ascii="Arial" w:hAnsi="Arial" w:cs="Arial"/>
          <w:bCs/>
          <w:color w:val="000000"/>
          <w:szCs w:val="16"/>
        </w:rPr>
        <w:br/>
      </w:r>
    </w:p>
    <w:p w:rsidR="00C716D1" w:rsidRPr="00474BD2" w:rsidRDefault="00877500" w:rsidP="00C716D1">
      <w:pPr>
        <w:pStyle w:val="ListParagraph"/>
        <w:numPr>
          <w:ilvl w:val="0"/>
          <w:numId w:val="13"/>
        </w:numPr>
        <w:spacing w:before="120"/>
        <w:rPr>
          <w:vanish/>
          <w:specVanish/>
        </w:rPr>
      </w:pPr>
      <w:r w:rsidRPr="00474BD2">
        <w:rPr>
          <w:rFonts w:ascii="Arial" w:hAnsi="Arial" w:cs="Arial"/>
          <w:b/>
          <w:bCs/>
          <w:color w:val="000000"/>
          <w:szCs w:val="16"/>
        </w:rPr>
        <w:t>Client Rejected by accommodation provider</w:t>
      </w:r>
      <w:r w:rsidRPr="00474BD2">
        <w:rPr>
          <w:rFonts w:ascii="Arial" w:hAnsi="Arial" w:cs="Arial"/>
          <w:bCs/>
          <w:color w:val="000000"/>
          <w:szCs w:val="16"/>
        </w:rPr>
        <w:t>; ISAT nominate next priority client</w:t>
      </w:r>
      <w:r w:rsidRPr="00474BD2">
        <w:rPr>
          <w:rFonts w:ascii="Arial" w:hAnsi="Arial" w:cs="Arial"/>
          <w:bCs/>
          <w:color w:val="000000"/>
          <w:szCs w:val="16"/>
        </w:rPr>
        <w:br/>
      </w:r>
      <w:r w:rsidR="00C716D1" w:rsidRPr="00C716D1">
        <w:rPr>
          <w:noProof/>
          <w:lang w:eastAsia="en-GB"/>
        </w:rPr>
        <w:drawing>
          <wp:inline distT="0" distB="0" distL="0" distR="0" wp14:anchorId="6D8159D8" wp14:editId="1660A776">
            <wp:extent cx="4966436" cy="4455995"/>
            <wp:effectExtent l="0" t="0" r="571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9097" cy="44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BD2" w:rsidRDefault="00474BD2" w:rsidP="00EE7629">
      <w:pPr>
        <w:pStyle w:val="Heading2"/>
        <w:spacing w:after="200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 xml:space="preserve"> </w:t>
      </w:r>
    </w:p>
    <w:p w:rsidR="00C84B47" w:rsidRPr="00C716D1" w:rsidRDefault="00DF2417" w:rsidP="00EE7629">
      <w:pPr>
        <w:pStyle w:val="Heading2"/>
        <w:spacing w:after="200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lastRenderedPageBreak/>
        <w:t xml:space="preserve">Pathway </w:t>
      </w:r>
      <w:r w:rsidR="00C84B47" w:rsidRPr="00C716D1">
        <w:rPr>
          <w:rFonts w:ascii="Arial" w:hAnsi="Arial" w:cs="Arial"/>
          <w:sz w:val="32"/>
          <w:szCs w:val="22"/>
        </w:rPr>
        <w:t xml:space="preserve">Move-on </w:t>
      </w:r>
    </w:p>
    <w:p w:rsidR="00C84B47" w:rsidRPr="004C059A" w:rsidRDefault="004C059A" w:rsidP="004C059A">
      <w:pPr>
        <w:pStyle w:val="Heading2"/>
        <w:rPr>
          <w:rFonts w:ascii="Arial" w:hAnsi="Arial" w:cs="Arial"/>
          <w:sz w:val="18"/>
          <w:szCs w:val="22"/>
        </w:rPr>
      </w:pPr>
      <w:r w:rsidRPr="004C059A">
        <w:rPr>
          <w:rFonts w:ascii="Arial" w:hAnsi="Arial" w:cs="Arial"/>
          <w:sz w:val="22"/>
        </w:rPr>
        <w:t>Background</w:t>
      </w:r>
    </w:p>
    <w:p w:rsidR="00414038" w:rsidRDefault="00DF2417" w:rsidP="00C84B47">
      <w:pPr>
        <w:spacing w:after="0" w:line="240" w:lineRule="auto"/>
      </w:pPr>
      <w:r>
        <w:t xml:space="preserve">This </w:t>
      </w:r>
      <w:r w:rsidR="00414038">
        <w:t>process covers how clients move between levels 2 – 4 within the pathway and the prep</w:t>
      </w:r>
      <w:r w:rsidR="00076E21">
        <w:t>aration stages for</w:t>
      </w:r>
      <w:r w:rsidR="00414038">
        <w:t xml:space="preserve"> moving out of the </w:t>
      </w:r>
      <w:r w:rsidR="00076E21">
        <w:t xml:space="preserve">homeless </w:t>
      </w:r>
      <w:r w:rsidR="00414038">
        <w:t>mixed accommodation pathway</w:t>
      </w:r>
      <w:r w:rsidR="00076E21">
        <w:t>.</w:t>
      </w:r>
    </w:p>
    <w:p w:rsidR="002E355A" w:rsidRDefault="002E355A" w:rsidP="00C84B47">
      <w:pPr>
        <w:spacing w:after="0" w:line="240" w:lineRule="auto"/>
      </w:pPr>
    </w:p>
    <w:p w:rsidR="00076E21" w:rsidRDefault="00076E21" w:rsidP="00C84B47">
      <w:pPr>
        <w:spacing w:after="0" w:line="240" w:lineRule="auto"/>
      </w:pPr>
      <w:r>
        <w:t xml:space="preserve">The homeless mixed accommodation move-on values statement includes detailed information </w:t>
      </w:r>
      <w:r w:rsidR="0083210D">
        <w:t>of what accommodation providers will offer</w:t>
      </w:r>
      <w:r w:rsidR="00E859C3">
        <w:t xml:space="preserve"> clients to support move-on;</w:t>
      </w:r>
      <w:r w:rsidR="0083210D">
        <w:t xml:space="preserve"> how pathway partners will work together to provide a smooth handover between </w:t>
      </w:r>
      <w:r w:rsidR="00E859C3">
        <w:t>partners; and what external agencies will be engaged to support clients moving out of the pathway.</w:t>
      </w:r>
    </w:p>
    <w:p w:rsidR="007078A1" w:rsidRPr="004C059A" w:rsidRDefault="007078A1" w:rsidP="00C84B47">
      <w:pPr>
        <w:spacing w:after="0" w:line="240" w:lineRule="auto"/>
      </w:pPr>
    </w:p>
    <w:p w:rsidR="00C84B47" w:rsidRPr="004C059A" w:rsidRDefault="00027029" w:rsidP="00C84B47">
      <w:pPr>
        <w:rPr>
          <w:b/>
        </w:rPr>
      </w:pPr>
      <w:r>
        <w:rPr>
          <w:b/>
        </w:rPr>
        <w:t xml:space="preserve">To support move-on </w:t>
      </w:r>
      <w:r w:rsidR="004C059A">
        <w:rPr>
          <w:b/>
        </w:rPr>
        <w:t>Pathway Partners will</w:t>
      </w:r>
    </w:p>
    <w:p w:rsidR="00C84B47" w:rsidRPr="004C059A" w:rsidRDefault="004C059A" w:rsidP="00C84B47">
      <w:pPr>
        <w:numPr>
          <w:ilvl w:val="0"/>
          <w:numId w:val="5"/>
        </w:numPr>
        <w:spacing w:after="0" w:line="240" w:lineRule="auto"/>
      </w:pPr>
      <w:r>
        <w:t>E</w:t>
      </w:r>
      <w:r w:rsidR="00C84B47" w:rsidRPr="004C059A">
        <w:t>nsure move on transitions are carried out efficiently with minimal barriers</w:t>
      </w:r>
    </w:p>
    <w:p w:rsidR="00C84B47" w:rsidRPr="004C059A" w:rsidRDefault="00C84B47" w:rsidP="00C84B47">
      <w:pPr>
        <w:spacing w:after="0" w:line="240" w:lineRule="auto"/>
        <w:ind w:left="720"/>
      </w:pPr>
    </w:p>
    <w:p w:rsidR="00C84B47" w:rsidRPr="004C059A" w:rsidRDefault="004C059A" w:rsidP="00C84B47">
      <w:pPr>
        <w:numPr>
          <w:ilvl w:val="0"/>
          <w:numId w:val="5"/>
        </w:numPr>
        <w:spacing w:after="0" w:line="240" w:lineRule="auto"/>
      </w:pPr>
      <w:r>
        <w:t>P</w:t>
      </w:r>
      <w:r w:rsidR="00C84B47" w:rsidRPr="004C059A">
        <w:t>rovide a flexible process which identifies and meets the needs of the client, creating a positive experience for the individual</w:t>
      </w:r>
    </w:p>
    <w:p w:rsidR="00C84B47" w:rsidRPr="004C059A" w:rsidRDefault="00C84B47" w:rsidP="00C84B47">
      <w:pPr>
        <w:spacing w:after="0" w:line="240" w:lineRule="auto"/>
      </w:pPr>
    </w:p>
    <w:p w:rsidR="00C84B47" w:rsidRPr="004C059A" w:rsidRDefault="00C84B47" w:rsidP="00C84B47">
      <w:pPr>
        <w:numPr>
          <w:ilvl w:val="0"/>
          <w:numId w:val="5"/>
        </w:numPr>
        <w:spacing w:after="0" w:line="240" w:lineRule="auto"/>
      </w:pPr>
      <w:r w:rsidRPr="004C059A">
        <w:t>Link clients with local agencies which can support move-ons out of the homeless pathways</w:t>
      </w:r>
    </w:p>
    <w:p w:rsidR="00C84B47" w:rsidRPr="004C059A" w:rsidRDefault="00C84B47" w:rsidP="00C84B47">
      <w:pPr>
        <w:spacing w:after="0" w:line="240" w:lineRule="auto"/>
      </w:pPr>
    </w:p>
    <w:p w:rsidR="00C84B47" w:rsidRDefault="00C84B47" w:rsidP="00C84B47">
      <w:pPr>
        <w:numPr>
          <w:ilvl w:val="0"/>
          <w:numId w:val="5"/>
        </w:numPr>
        <w:spacing w:after="0" w:line="240" w:lineRule="auto"/>
      </w:pPr>
      <w:r w:rsidRPr="004C059A">
        <w:t xml:space="preserve">Support partner agencies with move-ons by providing consistent and clear information utilising the HSR system </w:t>
      </w:r>
    </w:p>
    <w:p w:rsidR="006D6A7E" w:rsidRDefault="006D6A7E" w:rsidP="006D6A7E">
      <w:pPr>
        <w:spacing w:after="0" w:line="240" w:lineRule="auto"/>
        <w:rPr>
          <w:rFonts w:asciiTheme="minorHAnsi" w:hAnsiTheme="minorHAnsi" w:cstheme="minorBidi"/>
        </w:rPr>
      </w:pPr>
    </w:p>
    <w:p w:rsidR="00967637" w:rsidRPr="00967637" w:rsidRDefault="00967637" w:rsidP="00967637">
      <w:pPr>
        <w:spacing w:after="0" w:line="240" w:lineRule="auto"/>
      </w:pPr>
      <w:r w:rsidRPr="00967637">
        <w:t xml:space="preserve">Suitable candidates for moving </w:t>
      </w:r>
      <w:r w:rsidR="00027029">
        <w:t xml:space="preserve">on, or </w:t>
      </w:r>
      <w:r w:rsidRPr="00967637">
        <w:t>out of the pathway will be identified at OMG.  The referring partner will ensure that:</w:t>
      </w:r>
    </w:p>
    <w:p w:rsidR="00967637" w:rsidRPr="004C059A" w:rsidRDefault="00967637" w:rsidP="00967637">
      <w:pPr>
        <w:spacing w:after="0" w:line="240" w:lineRule="auto"/>
      </w:pPr>
    </w:p>
    <w:p w:rsidR="00967637" w:rsidRPr="00803A69" w:rsidRDefault="00027029" w:rsidP="00803A6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HSR system is up to date prior to nominations</w:t>
      </w:r>
      <w:r w:rsidR="00967637" w:rsidRPr="00803A69">
        <w:rPr>
          <w:rFonts w:ascii="Arial" w:hAnsi="Arial" w:cs="Arial"/>
        </w:rPr>
        <w:t>.</w:t>
      </w:r>
    </w:p>
    <w:p w:rsidR="00967637" w:rsidRPr="00803A69" w:rsidRDefault="00967637" w:rsidP="00967637">
      <w:pPr>
        <w:spacing w:after="0" w:line="240" w:lineRule="auto"/>
      </w:pPr>
    </w:p>
    <w:p w:rsidR="00967637" w:rsidRPr="00803A69" w:rsidRDefault="00967637" w:rsidP="00803A6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803A69">
        <w:rPr>
          <w:rFonts w:ascii="Arial" w:hAnsi="Arial" w:cs="Arial"/>
        </w:rPr>
        <w:t>OMG on any delays to move-ons, indicating any delays which will adversely effect voids times</w:t>
      </w:r>
    </w:p>
    <w:p w:rsidR="00967637" w:rsidRPr="00803A69" w:rsidRDefault="00967637" w:rsidP="00967637">
      <w:pPr>
        <w:pStyle w:val="ListParagraph"/>
        <w:ind w:left="1276" w:hanging="283"/>
        <w:rPr>
          <w:rFonts w:ascii="Arial" w:hAnsi="Arial" w:cs="Arial"/>
        </w:rPr>
      </w:pPr>
    </w:p>
    <w:p w:rsidR="00967637" w:rsidRPr="00803A69" w:rsidRDefault="006E0A6B" w:rsidP="00803A6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Move in to accommodation are planned with OMG.</w:t>
      </w:r>
    </w:p>
    <w:p w:rsidR="007078A1" w:rsidRDefault="007078A1" w:rsidP="007078A1">
      <w:pPr>
        <w:pStyle w:val="Heading2"/>
        <w:rPr>
          <w:rFonts w:ascii="Arial" w:hAnsi="Arial" w:cs="Arial"/>
          <w:sz w:val="22"/>
          <w:szCs w:val="22"/>
        </w:rPr>
      </w:pPr>
      <w:r w:rsidRPr="004C059A">
        <w:rPr>
          <w:rFonts w:ascii="Arial" w:hAnsi="Arial" w:cs="Arial"/>
          <w:sz w:val="22"/>
          <w:szCs w:val="22"/>
        </w:rPr>
        <w:t>Process</w:t>
      </w:r>
    </w:p>
    <w:p w:rsidR="004C059A" w:rsidRDefault="004C059A" w:rsidP="004C059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059A">
        <w:rPr>
          <w:rFonts w:ascii="Arial" w:hAnsi="Arial" w:cs="Arial"/>
        </w:rPr>
        <w:t xml:space="preserve">Client </w:t>
      </w:r>
      <w:r w:rsidR="00564B37">
        <w:rPr>
          <w:rFonts w:ascii="Arial" w:hAnsi="Arial" w:cs="Arial"/>
        </w:rPr>
        <w:t xml:space="preserve">move-on is agreed by accommodation provider or client </w:t>
      </w:r>
      <w:r w:rsidRPr="004C059A">
        <w:rPr>
          <w:rFonts w:ascii="Arial" w:hAnsi="Arial" w:cs="Arial"/>
        </w:rPr>
        <w:t xml:space="preserve">notifies </w:t>
      </w:r>
      <w:r w:rsidR="00C93345">
        <w:rPr>
          <w:rFonts w:ascii="Arial" w:hAnsi="Arial" w:cs="Arial"/>
        </w:rPr>
        <w:t>current</w:t>
      </w:r>
      <w:r w:rsidR="00696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accommodation provider of </w:t>
      </w:r>
      <w:r w:rsidR="00564B37">
        <w:rPr>
          <w:rFonts w:ascii="Arial" w:hAnsi="Arial" w:cs="Arial"/>
        </w:rPr>
        <w:t>intention to move-on.</w:t>
      </w:r>
    </w:p>
    <w:p w:rsidR="00564B37" w:rsidRDefault="00564B37" w:rsidP="00564B37">
      <w:pPr>
        <w:pStyle w:val="ListParagraph"/>
        <w:rPr>
          <w:rFonts w:ascii="Arial" w:hAnsi="Arial" w:cs="Arial"/>
        </w:rPr>
      </w:pPr>
    </w:p>
    <w:p w:rsidR="00294C56" w:rsidRPr="00294C56" w:rsidRDefault="00C93345" w:rsidP="00294C5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696E73">
        <w:rPr>
          <w:rFonts w:ascii="Arial" w:hAnsi="Arial" w:cs="Arial"/>
        </w:rPr>
        <w:t xml:space="preserve"> accommodation provider updates HSR prior to move indicating </w:t>
      </w:r>
      <w:r w:rsidR="00314725">
        <w:rPr>
          <w:rFonts w:ascii="Arial" w:hAnsi="Arial" w:cs="Arial"/>
        </w:rPr>
        <w:t>move-on date and address</w:t>
      </w:r>
      <w:r w:rsidR="00294C56">
        <w:rPr>
          <w:rFonts w:ascii="Arial" w:hAnsi="Arial" w:cs="Arial"/>
        </w:rPr>
        <w:br/>
      </w:r>
    </w:p>
    <w:p w:rsidR="00854774" w:rsidRDefault="00314725" w:rsidP="0031472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Handover; start </w:t>
      </w:r>
      <w:r w:rsidRPr="00854774">
        <w:rPr>
          <w:rFonts w:ascii="Arial" w:hAnsi="Arial" w:cs="Arial"/>
          <w:b/>
        </w:rPr>
        <w:t>2 week</w:t>
      </w:r>
      <w:r w:rsidR="00C93345">
        <w:rPr>
          <w:rFonts w:ascii="Arial" w:hAnsi="Arial" w:cs="Arial"/>
        </w:rPr>
        <w:t xml:space="preserve"> handover process between current accommodation provider</w:t>
      </w:r>
      <w:r>
        <w:rPr>
          <w:rFonts w:ascii="Arial" w:hAnsi="Arial" w:cs="Arial"/>
        </w:rPr>
        <w:t xml:space="preserve"> and recipient accommodation provider.  </w:t>
      </w:r>
      <w:r w:rsidR="00854774" w:rsidRPr="004C059A">
        <w:rPr>
          <w:rFonts w:ascii="Arial" w:hAnsi="Arial" w:cs="Arial"/>
        </w:rPr>
        <w:t>Ensure</w:t>
      </w:r>
      <w:r w:rsidR="006743D9">
        <w:rPr>
          <w:rFonts w:ascii="Arial" w:hAnsi="Arial" w:cs="Arial"/>
        </w:rPr>
        <w:t xml:space="preserve"> that</w:t>
      </w:r>
      <w:r w:rsidR="00854774" w:rsidRPr="004C059A">
        <w:rPr>
          <w:rFonts w:ascii="Arial" w:hAnsi="Arial" w:cs="Arial"/>
        </w:rPr>
        <w:t xml:space="preserve"> any tenancy termination</w:t>
      </w:r>
      <w:r w:rsidR="005B7D18">
        <w:rPr>
          <w:rFonts w:ascii="Arial" w:hAnsi="Arial" w:cs="Arial"/>
        </w:rPr>
        <w:t xml:space="preserve"> / license </w:t>
      </w:r>
      <w:r w:rsidR="00EA4F6D">
        <w:rPr>
          <w:rFonts w:ascii="Arial" w:hAnsi="Arial" w:cs="Arial"/>
        </w:rPr>
        <w:t>agreement</w:t>
      </w:r>
      <w:r w:rsidR="00854774" w:rsidRPr="004C059A">
        <w:rPr>
          <w:rFonts w:ascii="Arial" w:hAnsi="Arial" w:cs="Arial"/>
        </w:rPr>
        <w:t xml:space="preserve"> paperwork is completed and forward to partners prior to move out</w:t>
      </w:r>
      <w:r w:rsidR="00854774">
        <w:rPr>
          <w:rFonts w:ascii="Arial" w:hAnsi="Arial" w:cs="Arial"/>
        </w:rPr>
        <w:t>.</w:t>
      </w:r>
    </w:p>
    <w:p w:rsidR="00854774" w:rsidRPr="00854774" w:rsidRDefault="00854774" w:rsidP="00854774">
      <w:pPr>
        <w:pStyle w:val="ListParagraph"/>
        <w:rPr>
          <w:rFonts w:ascii="Arial" w:hAnsi="Arial" w:cs="Arial"/>
        </w:rPr>
      </w:pPr>
    </w:p>
    <w:p w:rsidR="00A51848" w:rsidRDefault="00854774" w:rsidP="00854774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Week 1; </w:t>
      </w:r>
    </w:p>
    <w:p w:rsidR="00314725" w:rsidRDefault="00A51848" w:rsidP="00A5184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54774">
        <w:rPr>
          <w:rFonts w:ascii="Arial" w:hAnsi="Arial" w:cs="Arial"/>
        </w:rPr>
        <w:t xml:space="preserve">ace to face meeting between client and recipient accommodation provider </w:t>
      </w:r>
    </w:p>
    <w:p w:rsidR="00854774" w:rsidRDefault="00854774" w:rsidP="00A5184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Assessment of on-going client needs</w:t>
      </w:r>
    </w:p>
    <w:p w:rsidR="00854774" w:rsidRDefault="00854774" w:rsidP="00A5184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and time of move agreed</w:t>
      </w:r>
    </w:p>
    <w:p w:rsidR="00854774" w:rsidRDefault="00854774" w:rsidP="0085477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854774" w:rsidRDefault="00854774" w:rsidP="00854774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 w:rsidRPr="00854774">
        <w:rPr>
          <w:rFonts w:ascii="Arial" w:hAnsi="Arial" w:cs="Arial"/>
        </w:rPr>
        <w:lastRenderedPageBreak/>
        <w:t>Week 2</w:t>
      </w:r>
      <w:r w:rsidR="002F38B8">
        <w:rPr>
          <w:rFonts w:ascii="Arial" w:hAnsi="Arial" w:cs="Arial"/>
        </w:rPr>
        <w:t xml:space="preserve">; </w:t>
      </w:r>
    </w:p>
    <w:p w:rsidR="00A51848" w:rsidRDefault="00A51848" w:rsidP="00A5184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 face to face client and support worker meeting</w:t>
      </w:r>
    </w:p>
    <w:p w:rsidR="00A51848" w:rsidRDefault="00A51848" w:rsidP="00A5184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accommodation sign up paper work</w:t>
      </w:r>
    </w:p>
    <w:p w:rsidR="00A51848" w:rsidRDefault="00A51848" w:rsidP="00A5184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Pack belongings</w:t>
      </w:r>
    </w:p>
    <w:p w:rsidR="00C50CFB" w:rsidRDefault="00C50CFB" w:rsidP="00C50CFB">
      <w:pPr>
        <w:spacing w:after="0" w:line="240" w:lineRule="auto"/>
      </w:pPr>
    </w:p>
    <w:p w:rsidR="00C50CFB" w:rsidRPr="00830BBB" w:rsidRDefault="00C50CFB" w:rsidP="00C50CFB">
      <w:pPr>
        <w:pStyle w:val="ListParagraph"/>
        <w:numPr>
          <w:ilvl w:val="1"/>
          <w:numId w:val="15"/>
        </w:numPr>
        <w:spacing w:after="0" w:line="240" w:lineRule="auto"/>
      </w:pPr>
      <w:r>
        <w:rPr>
          <w:rFonts w:ascii="Arial" w:hAnsi="Arial" w:cs="Arial"/>
        </w:rPr>
        <w:t>Day before move:</w:t>
      </w:r>
    </w:p>
    <w:p w:rsidR="00830BBB" w:rsidRDefault="00830BBB" w:rsidP="00830BBB">
      <w:pPr>
        <w:pStyle w:val="ListParagraph"/>
        <w:spacing w:after="0" w:line="240" w:lineRule="auto"/>
        <w:ind w:left="1440"/>
      </w:pPr>
    </w:p>
    <w:p w:rsidR="00830BBB" w:rsidRPr="00830BBB" w:rsidRDefault="00830BBB" w:rsidP="00830BB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830BBB">
        <w:rPr>
          <w:rFonts w:ascii="Arial" w:hAnsi="Arial" w:cs="Arial"/>
        </w:rPr>
        <w:t>Book taxi or person with van</w:t>
      </w:r>
    </w:p>
    <w:p w:rsidR="00830BBB" w:rsidRPr="00830BBB" w:rsidRDefault="00830BBB" w:rsidP="00830BBB">
      <w:pPr>
        <w:pStyle w:val="ListParagraph"/>
        <w:spacing w:after="0" w:line="240" w:lineRule="auto"/>
        <w:ind w:left="1440"/>
      </w:pPr>
    </w:p>
    <w:p w:rsidR="00830BBB" w:rsidRPr="00830BBB" w:rsidRDefault="00830BBB" w:rsidP="00C50CFB">
      <w:pPr>
        <w:pStyle w:val="ListParagraph"/>
        <w:numPr>
          <w:ilvl w:val="1"/>
          <w:numId w:val="15"/>
        </w:numPr>
        <w:spacing w:after="0" w:line="240" w:lineRule="auto"/>
      </w:pPr>
      <w:r>
        <w:rPr>
          <w:rFonts w:ascii="Arial" w:hAnsi="Arial" w:cs="Arial"/>
        </w:rPr>
        <w:t>Day of move</w:t>
      </w:r>
    </w:p>
    <w:p w:rsidR="00830BBB" w:rsidRPr="00F108BF" w:rsidRDefault="00F108BF" w:rsidP="00830BBB">
      <w:pPr>
        <w:pStyle w:val="ListParagraph"/>
        <w:numPr>
          <w:ilvl w:val="0"/>
          <w:numId w:val="20"/>
        </w:numPr>
        <w:spacing w:after="0" w:line="240" w:lineRule="auto"/>
      </w:pPr>
      <w:r>
        <w:rPr>
          <w:rFonts w:ascii="Arial" w:hAnsi="Arial" w:cs="Arial"/>
        </w:rPr>
        <w:t>Clear, clean and refurnish room</w:t>
      </w:r>
    </w:p>
    <w:p w:rsidR="00F108BF" w:rsidRPr="006D6A7E" w:rsidRDefault="005E2572" w:rsidP="00830BBB">
      <w:pPr>
        <w:pStyle w:val="ListParagraph"/>
        <w:numPr>
          <w:ilvl w:val="0"/>
          <w:numId w:val="20"/>
        </w:numPr>
        <w:spacing w:after="0" w:line="240" w:lineRule="auto"/>
      </w:pPr>
      <w:r>
        <w:rPr>
          <w:rFonts w:ascii="Arial" w:hAnsi="Arial" w:cs="Arial"/>
        </w:rPr>
        <w:t>Book / c</w:t>
      </w:r>
      <w:r w:rsidR="00F108BF">
        <w:rPr>
          <w:rFonts w:ascii="Arial" w:hAnsi="Arial" w:cs="Arial"/>
        </w:rPr>
        <w:t xml:space="preserve">omplete electric check </w:t>
      </w:r>
      <w:r w:rsidR="00F108BF" w:rsidRPr="006743D9">
        <w:rPr>
          <w:rFonts w:ascii="Arial" w:hAnsi="Arial" w:cs="Arial"/>
          <w:b/>
        </w:rPr>
        <w:t>(this can only be carried out when the room is vacant)</w:t>
      </w:r>
    </w:p>
    <w:p w:rsidR="006D6A7E" w:rsidRPr="002E355A" w:rsidRDefault="006D6A7E" w:rsidP="00830BBB">
      <w:pPr>
        <w:pStyle w:val="ListParagraph"/>
        <w:numPr>
          <w:ilvl w:val="0"/>
          <w:numId w:val="20"/>
        </w:numPr>
        <w:spacing w:after="0" w:line="240" w:lineRule="auto"/>
      </w:pPr>
      <w:r>
        <w:rPr>
          <w:rFonts w:ascii="Arial" w:hAnsi="Arial" w:cs="Arial"/>
        </w:rPr>
        <w:t>Create welcome pack for next client</w:t>
      </w:r>
    </w:p>
    <w:p w:rsidR="00830BBB" w:rsidRPr="00C50CFB" w:rsidRDefault="00830BBB" w:rsidP="00830BBB">
      <w:pPr>
        <w:spacing w:after="0" w:line="240" w:lineRule="auto"/>
      </w:pPr>
    </w:p>
    <w:p w:rsidR="004C059A" w:rsidRPr="004C059A" w:rsidRDefault="004C059A" w:rsidP="007078A1">
      <w:r w:rsidRPr="004C059A">
        <w:rPr>
          <w:noProof/>
          <w:lang w:eastAsia="en-GB"/>
        </w:rPr>
        <w:drawing>
          <wp:inline distT="0" distB="0" distL="0" distR="0" wp14:anchorId="11AA6B02" wp14:editId="51D7D8C2">
            <wp:extent cx="4558456" cy="5308459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542" cy="53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F2" w:rsidRDefault="00CE2D70" w:rsidP="006743D9">
      <w:pPr>
        <w:pStyle w:val="Heading1"/>
      </w:pPr>
      <w:r>
        <w:t>Cross Pathway moves</w:t>
      </w:r>
    </w:p>
    <w:p w:rsidR="006743D9" w:rsidRPr="006743D9" w:rsidRDefault="006743D9" w:rsidP="006743D9"/>
    <w:p w:rsidR="00CE2D70" w:rsidRDefault="00CE2D70" w:rsidP="00160347">
      <w:r w:rsidRPr="00CE2D70">
        <w:lastRenderedPageBreak/>
        <w:t>Client’s can be nominated to move between pathways</w:t>
      </w:r>
      <w:r>
        <w:t xml:space="preserve">, e.g. from pathway 1 </w:t>
      </w:r>
      <w:r w:rsidR="000527D5">
        <w:t xml:space="preserve">(male) </w:t>
      </w:r>
      <w:r>
        <w:t>to Pathway 2</w:t>
      </w:r>
      <w:r w:rsidR="000527D5">
        <w:t xml:space="preserve"> (mixed)</w:t>
      </w:r>
      <w:r>
        <w:t xml:space="preserve">.  </w:t>
      </w:r>
      <w:r w:rsidR="0073686B">
        <w:t xml:space="preserve">This can </w:t>
      </w:r>
      <w:r w:rsidR="0073686B" w:rsidRPr="00BA7964">
        <w:rPr>
          <w:b/>
        </w:rPr>
        <w:t xml:space="preserve">only </w:t>
      </w:r>
      <w:r w:rsidR="0073686B">
        <w:t>be carried out via the ISAT team</w:t>
      </w:r>
      <w:r w:rsidR="001722F7">
        <w:t xml:space="preserve"> and with their agreement.</w:t>
      </w:r>
    </w:p>
    <w:p w:rsidR="008A6E3A" w:rsidRPr="00CE2D70" w:rsidRDefault="008A6E3A" w:rsidP="00160347">
      <w:r>
        <w:t xml:space="preserve">Prior to </w:t>
      </w:r>
      <w:r w:rsidR="001722F7">
        <w:t>contacting ISAT planned</w:t>
      </w:r>
      <w:r w:rsidR="00B56310">
        <w:t xml:space="preserve"> and emergency</w:t>
      </w:r>
      <w:r w:rsidR="001722F7">
        <w:t xml:space="preserve"> moves must be discussed at OMG</w:t>
      </w:r>
      <w:r w:rsidR="00B56310">
        <w:t xml:space="preserve"> and raised with potential receiving accommodation provider</w:t>
      </w:r>
    </w:p>
    <w:p w:rsidR="0073686B" w:rsidRDefault="00CE2D70" w:rsidP="00160347">
      <w:r>
        <w:t>Process</w:t>
      </w:r>
    </w:p>
    <w:p w:rsidR="00CE2D70" w:rsidRDefault="00CE2D70" w:rsidP="007368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686B">
        <w:rPr>
          <w:rFonts w:ascii="Arial" w:hAnsi="Arial" w:cs="Arial"/>
        </w:rPr>
        <w:t>Current accommodation provider contacts ISAT</w:t>
      </w:r>
      <w:r w:rsidR="0073686B" w:rsidRPr="0073686B">
        <w:rPr>
          <w:rFonts w:ascii="Arial" w:hAnsi="Arial" w:cs="Arial"/>
        </w:rPr>
        <w:t>, indicating reasons for move.</w:t>
      </w:r>
    </w:p>
    <w:p w:rsidR="000527D5" w:rsidRPr="0073686B" w:rsidRDefault="000527D5" w:rsidP="000527D5">
      <w:pPr>
        <w:pStyle w:val="ListParagraph"/>
        <w:rPr>
          <w:rFonts w:ascii="Arial" w:hAnsi="Arial" w:cs="Arial"/>
        </w:rPr>
      </w:pPr>
    </w:p>
    <w:p w:rsidR="0073686B" w:rsidRDefault="0073686B" w:rsidP="007368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686B">
        <w:rPr>
          <w:rFonts w:ascii="Arial" w:hAnsi="Arial" w:cs="Arial"/>
        </w:rPr>
        <w:t>ISAT assess reasons for move and either:</w:t>
      </w:r>
    </w:p>
    <w:p w:rsidR="0073686B" w:rsidRPr="0073686B" w:rsidRDefault="0073686B" w:rsidP="0073686B">
      <w:pPr>
        <w:pStyle w:val="ListParagraph"/>
        <w:rPr>
          <w:rFonts w:ascii="Arial" w:hAnsi="Arial" w:cs="Arial"/>
        </w:rPr>
      </w:pPr>
    </w:p>
    <w:p w:rsidR="0073686B" w:rsidRPr="0073686B" w:rsidRDefault="0073686B" w:rsidP="0073686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3686B">
        <w:rPr>
          <w:rFonts w:ascii="Arial" w:hAnsi="Arial" w:cs="Arial"/>
        </w:rPr>
        <w:t>Reject: Client stays in current service</w:t>
      </w:r>
    </w:p>
    <w:p w:rsidR="00CE2D70" w:rsidRDefault="0073686B" w:rsidP="0016034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3686B">
        <w:rPr>
          <w:rFonts w:ascii="Arial" w:hAnsi="Arial" w:cs="Arial"/>
        </w:rPr>
        <w:t>Accepts: Move client</w:t>
      </w:r>
    </w:p>
    <w:p w:rsidR="000527D5" w:rsidRDefault="000527D5" w:rsidP="0016034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ISAT liaises with pathway contract manager to achieve move</w:t>
      </w:r>
      <w:r w:rsidR="00AA7A65">
        <w:rPr>
          <w:rFonts w:ascii="Arial" w:hAnsi="Arial" w:cs="Arial"/>
        </w:rPr>
        <w:t>.</w:t>
      </w:r>
    </w:p>
    <w:p w:rsidR="00696E73" w:rsidRDefault="00696E73" w:rsidP="008A6E3A">
      <w:pPr>
        <w:pStyle w:val="Heading2"/>
      </w:pPr>
      <w:r w:rsidRPr="00696E73">
        <w:rPr>
          <w:noProof/>
          <w:lang w:eastAsia="en-GB"/>
        </w:rPr>
        <w:drawing>
          <wp:inline distT="0" distB="0" distL="0" distR="0" wp14:anchorId="6CA57258" wp14:editId="22207ADA">
            <wp:extent cx="5731510" cy="2497738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E3A" w:rsidRPr="00BA7964" w:rsidRDefault="00BA7964" w:rsidP="008A6E3A">
      <w:pPr>
        <w:pStyle w:val="Heading2"/>
        <w:rPr>
          <w:rFonts w:ascii="Arial" w:hAnsi="Arial" w:cs="Arial"/>
          <w:sz w:val="32"/>
        </w:rPr>
      </w:pPr>
      <w:r w:rsidRPr="00BA7964">
        <w:rPr>
          <w:rFonts w:ascii="Arial" w:hAnsi="Arial" w:cs="Arial"/>
          <w:sz w:val="32"/>
        </w:rPr>
        <w:t>Exit pathway referral to floating support</w:t>
      </w:r>
    </w:p>
    <w:p w:rsidR="00AA7A65" w:rsidRDefault="00AA7A65" w:rsidP="008A6E3A"/>
    <w:p w:rsidR="00BA7964" w:rsidRDefault="00AA7A65" w:rsidP="00AA7A65">
      <w:pPr>
        <w:pStyle w:val="Heading2"/>
      </w:pPr>
      <w:r>
        <w:t>Background</w:t>
      </w:r>
    </w:p>
    <w:p w:rsidR="00AA7A65" w:rsidRDefault="00AA7A65" w:rsidP="008A6E3A">
      <w:r>
        <w:t>Clients leaving the pathway can be referred to a local providers of a floating support service.  If the client is moving out of the region, the Local Authority within that region will be able to provide details of the floating support service provider.</w:t>
      </w:r>
    </w:p>
    <w:p w:rsidR="004C3EE8" w:rsidRDefault="00AA7A65" w:rsidP="008A6E3A">
      <w:r w:rsidRPr="00AA7A65">
        <w:rPr>
          <w:b/>
        </w:rPr>
        <w:t>Note</w:t>
      </w:r>
      <w:r>
        <w:t>:</w:t>
      </w:r>
      <w:r>
        <w:tab/>
      </w:r>
      <w:r w:rsidR="008A6E3A">
        <w:t>Clients can exit from the pathway at any level</w:t>
      </w:r>
      <w:r w:rsidR="00BA7964">
        <w:t xml:space="preserve"> and be referred</w:t>
      </w:r>
    </w:p>
    <w:p w:rsidR="00BA7964" w:rsidRPr="00BA7964" w:rsidRDefault="00BA7964" w:rsidP="00BA7964">
      <w:pPr>
        <w:pStyle w:val="Heading2"/>
        <w:rPr>
          <w:rFonts w:ascii="Arial" w:hAnsi="Arial" w:cs="Arial"/>
          <w:sz w:val="22"/>
        </w:rPr>
      </w:pPr>
      <w:r w:rsidRPr="00BA7964">
        <w:rPr>
          <w:rFonts w:ascii="Arial" w:hAnsi="Arial" w:cs="Arial"/>
          <w:sz w:val="22"/>
        </w:rPr>
        <w:t>Process</w:t>
      </w:r>
    </w:p>
    <w:p w:rsidR="00BA7964" w:rsidRPr="00AA7A65" w:rsidRDefault="00C93345" w:rsidP="00AA7A6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AA7A65" w:rsidRPr="00AA7A65">
        <w:rPr>
          <w:rFonts w:ascii="Arial" w:hAnsi="Arial" w:cs="Arial"/>
        </w:rPr>
        <w:t xml:space="preserve"> accommodation provider completes floating support form, this is returned to the HSR service.</w:t>
      </w:r>
    </w:p>
    <w:p w:rsidR="00AA7A65" w:rsidRPr="00AA7A65" w:rsidRDefault="00AA7A65" w:rsidP="00AA7A6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A7A65">
        <w:rPr>
          <w:rFonts w:ascii="Arial" w:hAnsi="Arial" w:cs="Arial"/>
        </w:rPr>
        <w:t>HSR forwards form to floating support provider.</w:t>
      </w:r>
    </w:p>
    <w:p w:rsidR="00AA7A65" w:rsidRPr="00AA7A65" w:rsidRDefault="00AA7A65" w:rsidP="00AA7A6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A7A65">
        <w:rPr>
          <w:rFonts w:ascii="Arial" w:hAnsi="Arial" w:cs="Arial"/>
        </w:rPr>
        <w:t>Floating support provider contacts client directly.</w:t>
      </w:r>
    </w:p>
    <w:p w:rsidR="00BA7964" w:rsidRDefault="00BA7964" w:rsidP="008A6E3A">
      <w:r w:rsidRPr="00BA7964">
        <w:rPr>
          <w:noProof/>
          <w:lang w:eastAsia="en-GB"/>
        </w:rPr>
        <w:lastRenderedPageBreak/>
        <w:drawing>
          <wp:inline distT="0" distB="0" distL="0" distR="0" wp14:anchorId="417CDE4C" wp14:editId="6E68EC4A">
            <wp:extent cx="5731510" cy="1132831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10" w:rsidRDefault="00B56310" w:rsidP="00B56310">
      <w:pPr>
        <w:pStyle w:val="Heading2"/>
      </w:pPr>
      <w:r>
        <w:t xml:space="preserve">Floating Support Service Offer </w:t>
      </w:r>
    </w:p>
    <w:p w:rsidR="00B56310" w:rsidRDefault="00B56310" w:rsidP="008A6E3A"/>
    <w:p w:rsidR="00744E49" w:rsidRDefault="00744E49" w:rsidP="008A6E3A">
      <w:r>
        <w:t xml:space="preserve">The floating support provider in Bristol offers interventions based at clients homes.  Clients will need to sign up to a support agreement and can be engaged with in the pathway up 2 weeks prior to moving </w:t>
      </w:r>
      <w:r w:rsidR="00601FC0">
        <w:t>out</w:t>
      </w:r>
      <w:r>
        <w:t>.  There is no min / max period that resettlement support can be offered but</w:t>
      </w:r>
      <w:r w:rsidR="00601FC0">
        <w:t>,</w:t>
      </w:r>
      <w:r>
        <w:t xml:space="preserve"> this will depend upon needs and service demands.</w:t>
      </w:r>
    </w:p>
    <w:p w:rsidR="00744E49" w:rsidRDefault="00EA136D" w:rsidP="008A6E3A">
      <w:r>
        <w:t>Clients who decide to opt out of initial support offer can be considered at a later date but this will depend upon service demands.</w:t>
      </w:r>
    </w:p>
    <w:p w:rsidR="005A2838" w:rsidRDefault="00EA136D" w:rsidP="008A6E3A">
      <w:r>
        <w:t xml:space="preserve">Referrals for </w:t>
      </w:r>
      <w:r w:rsidR="00601FC0">
        <w:t xml:space="preserve">this </w:t>
      </w:r>
      <w:r>
        <w:t>service will be via</w:t>
      </w:r>
      <w:r w:rsidR="005A2838">
        <w:t xml:space="preserve"> HSR team who can be contact on:</w:t>
      </w:r>
    </w:p>
    <w:p w:rsidR="005A2838" w:rsidRPr="005A2838" w:rsidRDefault="005A2838" w:rsidP="005A2838">
      <w:pPr>
        <w:pStyle w:val="ListParagraph"/>
        <w:spacing w:before="120"/>
        <w:ind w:firstLine="720"/>
        <w:rPr>
          <w:rFonts w:ascii="Arial" w:hAnsi="Arial" w:cs="Arial"/>
          <w:b/>
        </w:rPr>
      </w:pPr>
      <w:r w:rsidRPr="002B0732">
        <w:rPr>
          <w:rFonts w:ascii="Arial" w:hAnsi="Arial" w:cs="Arial"/>
          <w:b/>
        </w:rPr>
        <w:t>Accommodation.services@bristol.gov.uk</w:t>
      </w:r>
    </w:p>
    <w:p w:rsidR="00BA7964" w:rsidRDefault="00BA7964">
      <w:r>
        <w:br w:type="page"/>
      </w:r>
    </w:p>
    <w:p w:rsidR="004C3EE8" w:rsidRDefault="004C3EE8" w:rsidP="00336841">
      <w:pPr>
        <w:pStyle w:val="Heading1"/>
      </w:pPr>
      <w:r>
        <w:t xml:space="preserve">Appendix 1 </w:t>
      </w:r>
    </w:p>
    <w:p w:rsidR="004C3EE8" w:rsidRDefault="004C3EE8" w:rsidP="008A6E3A">
      <w:r w:rsidRPr="004C3EE8">
        <w:rPr>
          <w:noProof/>
          <w:lang w:eastAsia="en-GB"/>
        </w:rPr>
        <w:drawing>
          <wp:inline distT="0" distB="0" distL="0" distR="0" wp14:anchorId="3C3B3B03" wp14:editId="4753B137">
            <wp:extent cx="5731510" cy="779526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E3A" w:rsidRPr="008A6E3A" w:rsidRDefault="008A6E3A" w:rsidP="008A6E3A"/>
    <w:p w:rsidR="0073157D" w:rsidRDefault="0073157D">
      <w:pPr>
        <w:rPr>
          <w:b/>
        </w:rPr>
      </w:pPr>
    </w:p>
    <w:p w:rsidR="00BF5AD3" w:rsidRDefault="00336841" w:rsidP="00336841">
      <w:pPr>
        <w:pStyle w:val="Heading1"/>
      </w:pPr>
      <w:r>
        <w:t>Appendix 2</w:t>
      </w:r>
      <w:r w:rsidR="0073157D">
        <w:tab/>
      </w:r>
      <w:r w:rsidR="0073157D">
        <w:tab/>
        <w:t>Void Notification Form</w:t>
      </w:r>
    </w:p>
    <w:p w:rsidR="0073157D" w:rsidRDefault="0073157D" w:rsidP="0073157D">
      <w:pPr>
        <w:rPr>
          <w:rFonts w:ascii="Verdana" w:hAnsi="Verdana"/>
          <w:b/>
          <w:bCs/>
          <w:sz w:val="32"/>
          <w:szCs w:val="32"/>
          <w:u w:val="single"/>
        </w:rPr>
      </w:pPr>
    </w:p>
    <w:p w:rsidR="0073157D" w:rsidRDefault="0073157D" w:rsidP="0073157D">
      <w:pPr>
        <w:jc w:val="center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VOID NOTIFICATION FORM</w:t>
      </w:r>
    </w:p>
    <w:p w:rsidR="0073157D" w:rsidRDefault="0073157D" w:rsidP="0073157D">
      <w:pPr>
        <w:jc w:val="center"/>
        <w:rPr>
          <w:rFonts w:ascii="Verdana" w:hAnsi="Verdana"/>
          <w:b/>
          <w:bCs/>
          <w:sz w:val="12"/>
          <w:szCs w:val="12"/>
          <w:u w:val="single"/>
        </w:rPr>
      </w:pPr>
    </w:p>
    <w:p w:rsidR="0073157D" w:rsidRDefault="0073157D" w:rsidP="0073157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This form must be used by Level 1 High Support Service Providers to inform the Interim and Supported Accommodation Team (I&amp;SAT) of any voids.  </w:t>
      </w:r>
    </w:p>
    <w:p w:rsidR="0073157D" w:rsidRDefault="0073157D" w:rsidP="0073157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Once completed the form should be emailed to: </w:t>
      </w:r>
      <w:hyperlink r:id="rId13" w:history="1">
        <w:r w:rsidRPr="00F77693">
          <w:rPr>
            <w:rStyle w:val="Hyperlink"/>
            <w:rFonts w:ascii="Verdana" w:hAnsi="Verdana"/>
            <w:b/>
            <w:bCs/>
          </w:rPr>
          <w:t>accommodation.services@bristol.gov.uk</w:t>
        </w:r>
      </w:hyperlink>
      <w:r>
        <w:rPr>
          <w:rFonts w:ascii="Verdana" w:hAnsi="Verdana"/>
          <w:b/>
          <w:bCs/>
        </w:rPr>
        <w:t xml:space="preserve">  </w:t>
      </w:r>
    </w:p>
    <w:p w:rsidR="0073157D" w:rsidRDefault="0073157D" w:rsidP="0073157D">
      <w:pPr>
        <w:jc w:val="center"/>
        <w:rPr>
          <w:rFonts w:ascii="Verdana" w:hAnsi="Verdana"/>
        </w:rPr>
      </w:pPr>
    </w:p>
    <w:p w:rsidR="0073157D" w:rsidRDefault="0073157D" w:rsidP="0073157D">
      <w:pPr>
        <w:jc w:val="center"/>
        <w:rPr>
          <w:rFonts w:ascii="Verdana" w:hAnsi="Verdana"/>
          <w:sz w:val="12"/>
          <w:szCs w:val="12"/>
        </w:rPr>
      </w:pPr>
    </w:p>
    <w:p w:rsidR="0073157D" w:rsidRDefault="0073157D" w:rsidP="0073157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Please use a separate form for each void</w:t>
      </w:r>
    </w:p>
    <w:tbl>
      <w:tblPr>
        <w:tblW w:w="9968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5"/>
        <w:gridCol w:w="18"/>
        <w:gridCol w:w="2311"/>
        <w:gridCol w:w="1603"/>
        <w:gridCol w:w="1261"/>
        <w:gridCol w:w="3882"/>
        <w:gridCol w:w="18"/>
      </w:tblGrid>
      <w:tr w:rsidR="0073157D" w:rsidTr="00C156F1">
        <w:trPr>
          <w:gridAfter w:val="1"/>
          <w:wAfter w:w="18" w:type="dxa"/>
          <w:cantSplit/>
          <w:trHeight w:val="456"/>
        </w:trPr>
        <w:tc>
          <w:tcPr>
            <w:tcW w:w="9950" w:type="dxa"/>
            <w:gridSpan w:val="6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Part One - About the Void</w:t>
            </w:r>
          </w:p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completed by Accommodation Provider</w:t>
            </w:r>
          </w:p>
        </w:tc>
      </w:tr>
      <w:tr w:rsidR="0073157D" w:rsidTr="00C156F1">
        <w:trPr>
          <w:gridAfter w:val="1"/>
          <w:wAfter w:w="18" w:type="dxa"/>
          <w:cantSplit/>
        </w:trPr>
        <w:tc>
          <w:tcPr>
            <w:tcW w:w="893" w:type="dxa"/>
            <w:gridSpan w:val="2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57" w:type="dxa"/>
            <w:gridSpan w:val="4"/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About the person sending this Void Notice</w:t>
            </w:r>
          </w:p>
        </w:tc>
      </w:tr>
      <w:tr w:rsidR="0073157D" w:rsidTr="00C156F1">
        <w:tc>
          <w:tcPr>
            <w:tcW w:w="893" w:type="dxa"/>
            <w:gridSpan w:val="2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Q1.1</w:t>
            </w:r>
          </w:p>
        </w:tc>
        <w:tc>
          <w:tcPr>
            <w:tcW w:w="2311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  <w:tc>
          <w:tcPr>
            <w:tcW w:w="6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73157D" w:rsidTr="00C156F1">
        <w:tc>
          <w:tcPr>
            <w:tcW w:w="893" w:type="dxa"/>
            <w:gridSpan w:val="2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Q1.2</w:t>
            </w:r>
          </w:p>
        </w:tc>
        <w:tc>
          <w:tcPr>
            <w:tcW w:w="3914" w:type="dxa"/>
            <w:gridSpan w:val="2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Service</w:t>
            </w:r>
          </w:p>
        </w:tc>
        <w:tc>
          <w:tcPr>
            <w:tcW w:w="51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73157D" w:rsidTr="00C156F1">
        <w:trPr>
          <w:gridAfter w:val="1"/>
          <w:wAfter w:w="18" w:type="dxa"/>
          <w:cantSplit/>
          <w:trHeight w:hRule="exact" w:val="193"/>
        </w:trPr>
        <w:tc>
          <w:tcPr>
            <w:tcW w:w="9950" w:type="dxa"/>
            <w:gridSpan w:val="6"/>
          </w:tcPr>
          <w:p w:rsidR="0073157D" w:rsidRDefault="0073157D" w:rsidP="00C156F1">
            <w:pPr>
              <w:snapToGrid w:val="0"/>
              <w:rPr>
                <w:rFonts w:ascii="Verdana" w:hAnsi="Verdana"/>
                <w:sz w:val="12"/>
              </w:rPr>
            </w:pPr>
          </w:p>
        </w:tc>
      </w:tr>
      <w:tr w:rsidR="0073157D" w:rsidTr="00C156F1">
        <w:trPr>
          <w:gridAfter w:val="1"/>
          <w:wAfter w:w="18" w:type="dxa"/>
          <w:cantSplit/>
        </w:trPr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75" w:type="dxa"/>
            <w:gridSpan w:val="5"/>
          </w:tcPr>
          <w:p w:rsidR="0073157D" w:rsidRDefault="0073157D" w:rsidP="00C156F1">
            <w:pPr>
              <w:pStyle w:val="Heading1"/>
            </w:pPr>
            <w:r>
              <w:t>About the Void</w:t>
            </w: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Q1.3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Room/Unit Number 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jc w:val="both"/>
              <w:rPr>
                <w:rFonts w:ascii="Verdana" w:hAnsi="Verdana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Q1.4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previous service user</w:t>
            </w:r>
          </w:p>
        </w:tc>
        <w:tc>
          <w:tcPr>
            <w:tcW w:w="3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Q1.5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previous service user last occupied room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Q1.6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notice served (if applicable)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Q1.7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notice expired (if applicable)/Date previous service user booked out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Q1.8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Reason for notice (if applicable) or delay in booking out 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Q1.9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address of previous service user/s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  <w:tr w:rsidR="0073157D" w:rsidTr="00C156F1"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Q1.10</w:t>
            </w:r>
          </w:p>
        </w:tc>
        <w:tc>
          <w:tcPr>
            <w:tcW w:w="5193" w:type="dxa"/>
            <w:gridSpan w:val="4"/>
          </w:tcPr>
          <w:p w:rsidR="0073157D" w:rsidRDefault="0073157D" w:rsidP="00C156F1">
            <w:pPr>
              <w:pStyle w:val="TableContents"/>
              <w:tabs>
                <w:tab w:val="center" w:pos="2541"/>
                <w:tab w:val="right" w:pos="5083"/>
              </w:tabs>
              <w:snapToGrid w:val="0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  <w:t xml:space="preserve">Date room available 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  <w:tr w:rsidR="0073157D" w:rsidTr="00C156F1">
        <w:trPr>
          <w:cantSplit/>
          <w:trHeight w:val="1101"/>
        </w:trPr>
        <w:tc>
          <w:tcPr>
            <w:tcW w:w="875" w:type="dxa"/>
            <w:tcBorders>
              <w:bottom w:val="nil"/>
            </w:tcBorders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Q1.11</w:t>
            </w:r>
          </w:p>
        </w:tc>
        <w:tc>
          <w:tcPr>
            <w:tcW w:w="5193" w:type="dxa"/>
            <w:gridSpan w:val="4"/>
            <w:tcBorders>
              <w:bottom w:val="nil"/>
            </w:tcBorders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Reason for any void delays </w:t>
            </w:r>
          </w:p>
        </w:tc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</w:tbl>
    <w:p w:rsidR="0073157D" w:rsidRDefault="0073157D" w:rsidP="0073157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 xml:space="preserve">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395"/>
        <w:gridCol w:w="425"/>
      </w:tblGrid>
      <w:tr w:rsidR="0073157D" w:rsidRPr="00B951CD" w:rsidTr="00C156F1">
        <w:trPr>
          <w:trHeight w:val="300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157D" w:rsidRPr="00B951CD" w:rsidRDefault="0073157D" w:rsidP="00C156F1">
            <w:pPr>
              <w:tabs>
                <w:tab w:val="right" w:pos="4037"/>
              </w:tabs>
              <w:rPr>
                <w:rFonts w:ascii="Verdana" w:hAnsi="Verdana"/>
                <w:b/>
              </w:rPr>
            </w:pPr>
            <w:r w:rsidRPr="00B951CD">
              <w:rPr>
                <w:rFonts w:ascii="Verdana" w:hAnsi="Verdana"/>
              </w:rPr>
              <w:t xml:space="preserve"> Q1.12   </w:t>
            </w:r>
            <w:r w:rsidRPr="00B951CD">
              <w:rPr>
                <w:rFonts w:ascii="Verdana" w:hAnsi="Verdana"/>
                <w:b/>
              </w:rPr>
              <w:t>Reason for Leaving</w:t>
            </w: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Supported Housing (Same Pathway)</w:t>
            </w:r>
          </w:p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  <w:tc>
          <w:tcPr>
            <w:tcW w:w="425" w:type="dxa"/>
            <w:shd w:val="clear" w:color="auto" w:fill="FFFFCC"/>
            <w:noWrap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tabs>
                <w:tab w:val="right" w:pos="4037"/>
              </w:tabs>
              <w:rPr>
                <w:rFonts w:ascii="Verdana" w:hAnsi="Verdana"/>
              </w:rPr>
            </w:pPr>
            <w:hyperlink r:id="rId14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Abandoned (Unplanned) </w:t>
              </w:r>
            </w:hyperlink>
            <w:r w:rsidR="0073157D" w:rsidRPr="00B951CD">
              <w:rPr>
                <w:rFonts w:ascii="Verdana" w:hAnsi="Verdana"/>
              </w:rPr>
              <w:tab/>
            </w:r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tabs>
                <w:tab w:val="right" w:pos="4037"/>
              </w:tabs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Supported Housing (Different Pathway)</w:t>
            </w:r>
          </w:p>
        </w:tc>
        <w:tc>
          <w:tcPr>
            <w:tcW w:w="425" w:type="dxa"/>
            <w:shd w:val="clear" w:color="auto" w:fill="FFFFCC"/>
            <w:noWrap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Custody - Breach of Prior Order (Unplanned)</w:t>
            </w:r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BCC Tenancy NOT via PMOS (Planned)</w:t>
            </w:r>
          </w:p>
        </w:tc>
        <w:tc>
          <w:tcPr>
            <w:tcW w:w="425" w:type="dxa"/>
            <w:shd w:val="clear" w:color="auto" w:fill="FFFFCC"/>
            <w:noWrap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15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Custody Current Offence (Unplanned) 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BCC Tenancy via PMOS (Planned)</w:t>
            </w:r>
          </w:p>
          <w:p w:rsidR="0073157D" w:rsidRPr="00B951CD" w:rsidRDefault="0073157D" w:rsidP="00C156F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shd w:val="clear" w:color="auto" w:fill="FFFFCC"/>
            <w:noWrap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Death (Unplanned)</w:t>
            </w:r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Custody - Hearing/Arrest Warrant for Prior Offence (Planned)</w:t>
            </w:r>
          </w:p>
        </w:tc>
        <w:tc>
          <w:tcPr>
            <w:tcW w:w="425" w:type="dxa"/>
            <w:shd w:val="clear" w:color="auto" w:fill="FFFFCC"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16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Evicted (Unplanned) 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17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Hospital, Care Home or Hospice (Planned) </w:t>
              </w:r>
            </w:hyperlink>
          </w:p>
        </w:tc>
        <w:tc>
          <w:tcPr>
            <w:tcW w:w="425" w:type="dxa"/>
            <w:shd w:val="clear" w:color="auto" w:fill="FFFFCC"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18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Hospital, Care Home or Hospice (Unplanned) 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Substance Misuse Pathway (Planned)</w:t>
            </w:r>
          </w:p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  <w:tc>
          <w:tcPr>
            <w:tcW w:w="425" w:type="dxa"/>
            <w:shd w:val="clear" w:color="auto" w:fill="FFFFCC"/>
            <w:noWrap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19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Non-HSR Supported Accom (Unplanned) 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0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Non-HSR Substance Misuse Accom (Planned) </w:t>
              </w:r>
            </w:hyperlink>
          </w:p>
        </w:tc>
        <w:tc>
          <w:tcPr>
            <w:tcW w:w="425" w:type="dxa"/>
            <w:shd w:val="clear" w:color="auto" w:fill="FFFFCC"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1" w:history="1">
              <w:r w:rsidR="0073157D" w:rsidRPr="00B951CD">
                <w:rPr>
                  <w:rStyle w:val="Hyperlink"/>
                  <w:rFonts w:ascii="Verdana" w:hAnsi="Verdana"/>
                </w:rPr>
                <w:t>Other (Unplanned)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626"/>
        </w:trPr>
        <w:tc>
          <w:tcPr>
            <w:tcW w:w="4786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2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Non-HSR Supported Accom (Planned) </w:t>
              </w:r>
            </w:hyperlink>
          </w:p>
        </w:tc>
        <w:tc>
          <w:tcPr>
            <w:tcW w:w="425" w:type="dxa"/>
            <w:shd w:val="clear" w:color="auto" w:fill="FFFFCC"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3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Psychiatric Hospital (Unplanned) 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4" w:history="1">
              <w:r w:rsidR="0073157D" w:rsidRPr="00B951CD">
                <w:rPr>
                  <w:rStyle w:val="Hyperlink"/>
                  <w:rFonts w:ascii="Verdana" w:hAnsi="Verdana"/>
                </w:rPr>
                <w:t>Other (Planned)</w:t>
              </w:r>
            </w:hyperlink>
          </w:p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  <w:tc>
          <w:tcPr>
            <w:tcW w:w="425" w:type="dxa"/>
            <w:shd w:val="clear" w:color="auto" w:fill="FFFFCC"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5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Renting Privately (Unplanned) </w:t>
              </w:r>
            </w:hyperlink>
          </w:p>
        </w:tc>
        <w:tc>
          <w:tcPr>
            <w:tcW w:w="425" w:type="dxa"/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6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Psychiatric Hospital (Planned) </w:t>
              </w:r>
            </w:hyperlink>
          </w:p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  <w:hideMark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3157D" w:rsidRPr="00B951CD" w:rsidRDefault="00474398" w:rsidP="00C156F1">
            <w:pPr>
              <w:rPr>
                <w:rFonts w:ascii="Verdana" w:hAnsi="Verdana"/>
              </w:rPr>
            </w:pPr>
            <w:hyperlink r:id="rId27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Staying with Friends or Family (Unplanned) </w:t>
              </w:r>
            </w:hyperlink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</w:tcPr>
          <w:p w:rsidR="0073157D" w:rsidRPr="00B951CD" w:rsidRDefault="00474398" w:rsidP="00C156F1">
            <w:pPr>
              <w:tabs>
                <w:tab w:val="right" w:pos="4428"/>
              </w:tabs>
              <w:rPr>
                <w:rFonts w:ascii="Verdana" w:hAnsi="Verdana"/>
              </w:rPr>
            </w:pPr>
            <w:hyperlink r:id="rId28" w:history="1">
              <w:r w:rsidR="0073157D" w:rsidRPr="00B951CD">
                <w:rPr>
                  <w:rStyle w:val="Hyperlink"/>
                  <w:rFonts w:ascii="Verdana" w:hAnsi="Verdana"/>
                </w:rPr>
                <w:t xml:space="preserve">Renting Privately (Planned) </w:t>
              </w:r>
            </w:hyperlink>
          </w:p>
          <w:p w:rsidR="0073157D" w:rsidRPr="00B951CD" w:rsidRDefault="0073157D" w:rsidP="00C156F1">
            <w:pPr>
              <w:tabs>
                <w:tab w:val="right" w:pos="4428"/>
              </w:tabs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820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</w:tcPr>
          <w:p w:rsidR="0073157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RSL Tenancy NOT via PMOS (Planned)</w:t>
            </w:r>
          </w:p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82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</w:tcPr>
          <w:p w:rsidR="0073157D" w:rsidRPr="00B951CD" w:rsidRDefault="0073157D" w:rsidP="00C156F1">
            <w:pPr>
              <w:tabs>
                <w:tab w:val="right" w:pos="4428"/>
              </w:tabs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RSL Tenancy via PMOS (Planned)</w:t>
            </w:r>
            <w:r w:rsidRPr="00B951CD">
              <w:rPr>
                <w:rFonts w:ascii="Verdana" w:hAnsi="Verdana"/>
              </w:rPr>
              <w:tab/>
            </w:r>
          </w:p>
          <w:p w:rsidR="0073157D" w:rsidRPr="00B951CD" w:rsidRDefault="0073157D" w:rsidP="00C156F1">
            <w:pPr>
              <w:tabs>
                <w:tab w:val="right" w:pos="4428"/>
              </w:tabs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82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</w:tr>
      <w:tr w:rsidR="0073157D" w:rsidRPr="00B951CD" w:rsidTr="00C156F1">
        <w:trPr>
          <w:trHeight w:val="300"/>
        </w:trPr>
        <w:tc>
          <w:tcPr>
            <w:tcW w:w="4786" w:type="dxa"/>
            <w:shd w:val="clear" w:color="auto" w:fill="auto"/>
          </w:tcPr>
          <w:p w:rsidR="0073157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Staying with Friends or Family (Planned)</w:t>
            </w:r>
          </w:p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</w:tcPr>
          <w:p w:rsidR="0073157D" w:rsidRPr="007E65E9" w:rsidRDefault="0073157D" w:rsidP="00C156F1">
            <w:pPr>
              <w:rPr>
                <w:rFonts w:ascii="Verdana" w:hAnsi="Verdana"/>
                <w:b/>
              </w:rPr>
            </w:pPr>
          </w:p>
        </w:tc>
        <w:tc>
          <w:tcPr>
            <w:tcW w:w="482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</w:p>
        </w:tc>
      </w:tr>
    </w:tbl>
    <w:p w:rsidR="0073157D" w:rsidRDefault="0073157D" w:rsidP="0073157D">
      <w:pPr>
        <w:rPr>
          <w:rFonts w:ascii="Verdana" w:hAnsi="Verdana"/>
        </w:rPr>
      </w:pPr>
    </w:p>
    <w:p w:rsidR="0073157D" w:rsidRDefault="0073157D" w:rsidP="0073157D">
      <w:pPr>
        <w:pStyle w:val="List"/>
        <w:spacing w:after="0"/>
        <w:rPr>
          <w:rFonts w:ascii="Verdana" w:hAnsi="Verdana"/>
        </w:rPr>
      </w:pPr>
    </w:p>
    <w:tbl>
      <w:tblPr>
        <w:tblW w:w="9968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5"/>
        <w:gridCol w:w="9093"/>
      </w:tblGrid>
      <w:tr w:rsidR="0073157D" w:rsidTr="00C156F1">
        <w:trPr>
          <w:cantSplit/>
        </w:trPr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93" w:type="dxa"/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About the nominee requested</w:t>
            </w:r>
          </w:p>
        </w:tc>
      </w:tr>
      <w:tr w:rsidR="0073157D" w:rsidTr="00C156F1">
        <w:trPr>
          <w:cantSplit/>
        </w:trPr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Q1.13</w:t>
            </w:r>
          </w:p>
        </w:tc>
        <w:tc>
          <w:tcPr>
            <w:tcW w:w="9093" w:type="dxa"/>
            <w:tcBorders>
              <w:bottom w:val="single" w:sz="8" w:space="0" w:color="000000"/>
            </w:tcBorders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Some services may need to ensure an appropriate balance of gender or other factors when selecting a new client. Please use the space below to detail (together with a brief reason) any such factors you wish to be taken into account by I&amp;SAT when nominating a referral for this vacancy. </w:t>
            </w:r>
          </w:p>
        </w:tc>
      </w:tr>
      <w:tr w:rsidR="0073157D" w:rsidTr="00C156F1">
        <w:trPr>
          <w:trHeight w:val="982"/>
        </w:trPr>
        <w:tc>
          <w:tcPr>
            <w:tcW w:w="875" w:type="dxa"/>
            <w:tcBorders>
              <w:right w:val="single" w:sz="8" w:space="0" w:color="000000"/>
            </w:tcBorders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tabs>
                <w:tab w:val="left" w:pos="2490"/>
              </w:tabs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</w:tbl>
    <w:p w:rsidR="0073157D" w:rsidRDefault="0073157D" w:rsidP="0073157D">
      <w:pPr>
        <w:pStyle w:val="BodyText"/>
        <w:rPr>
          <w:rFonts w:ascii="Verdana" w:hAnsi="Verdana"/>
        </w:rPr>
      </w:pPr>
    </w:p>
    <w:p w:rsidR="0073157D" w:rsidRDefault="0073157D" w:rsidP="0073157D">
      <w:pPr>
        <w:pStyle w:val="BodyText"/>
        <w:rPr>
          <w:rFonts w:ascii="Verdana" w:hAnsi="Verdana"/>
        </w:rPr>
      </w:pPr>
    </w:p>
    <w:tbl>
      <w:tblPr>
        <w:tblW w:w="9892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"/>
        <w:gridCol w:w="4503"/>
        <w:gridCol w:w="113"/>
        <w:gridCol w:w="4370"/>
        <w:gridCol w:w="20"/>
      </w:tblGrid>
      <w:tr w:rsidR="0073157D" w:rsidTr="00C156F1">
        <w:trPr>
          <w:gridAfter w:val="1"/>
          <w:wAfter w:w="20" w:type="dxa"/>
          <w:cantSplit/>
        </w:trPr>
        <w:tc>
          <w:tcPr>
            <w:tcW w:w="9872" w:type="dxa"/>
            <w:gridSpan w:val="4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Part Two – Nomination by I&amp;SAT</w:t>
            </w:r>
          </w:p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completed by I&amp;SAT</w:t>
            </w:r>
          </w:p>
        </w:tc>
      </w:tr>
      <w:tr w:rsidR="0073157D" w:rsidTr="00C156F1">
        <w:trPr>
          <w:cantSplit/>
          <w:trHeight w:val="740"/>
        </w:trPr>
        <w:tc>
          <w:tcPr>
            <w:tcW w:w="886" w:type="dxa"/>
          </w:tcPr>
          <w:p w:rsidR="0073157D" w:rsidRDefault="0073157D" w:rsidP="00C156F1">
            <w:pPr>
              <w:pStyle w:val="TableContents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Q2.1</w:t>
            </w:r>
          </w:p>
        </w:tc>
        <w:tc>
          <w:tcPr>
            <w:tcW w:w="4616" w:type="dxa"/>
            <w:gridSpan w:val="2"/>
            <w:tcBorders>
              <w:right w:val="single" w:sz="8" w:space="0" w:color="auto"/>
            </w:tcBorders>
          </w:tcPr>
          <w:p w:rsidR="0073157D" w:rsidRDefault="0073157D" w:rsidP="00C156F1">
            <w:pPr>
              <w:snapToGrid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VNF received by I&amp;SAT (taken from email)</w:t>
            </w:r>
          </w:p>
        </w:tc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3157D" w:rsidRPr="00203BC0" w:rsidRDefault="0073157D" w:rsidP="00C156F1">
            <w:pPr>
              <w:pStyle w:val="List"/>
              <w:spacing w:after="0"/>
              <w:rPr>
                <w:rFonts w:ascii="Verdana" w:hAnsi="Verdana"/>
              </w:rPr>
            </w:pPr>
          </w:p>
        </w:tc>
      </w:tr>
      <w:tr w:rsidR="0073157D" w:rsidTr="00C156F1">
        <w:trPr>
          <w:cantSplit/>
          <w:trHeight w:hRule="exact" w:val="170"/>
        </w:trPr>
        <w:tc>
          <w:tcPr>
            <w:tcW w:w="9892" w:type="dxa"/>
            <w:gridSpan w:val="5"/>
          </w:tcPr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3157D" w:rsidTr="00C156F1">
        <w:trPr>
          <w:cantSplit/>
        </w:trPr>
        <w:tc>
          <w:tcPr>
            <w:tcW w:w="886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06" w:type="dxa"/>
            <w:gridSpan w:val="4"/>
            <w:tcBorders>
              <w:bottom w:val="single" w:sz="8" w:space="0" w:color="auto"/>
            </w:tcBorders>
          </w:tcPr>
          <w:p w:rsidR="0073157D" w:rsidRDefault="0073157D" w:rsidP="00C156F1">
            <w:pPr>
              <w:pStyle w:val="TableContents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applicant we are nominating for this void is:</w:t>
            </w:r>
          </w:p>
        </w:tc>
      </w:tr>
      <w:tr w:rsidR="0073157D" w:rsidTr="00C156F1">
        <w:trPr>
          <w:cantSplit/>
        </w:trPr>
        <w:tc>
          <w:tcPr>
            <w:tcW w:w="886" w:type="dxa"/>
            <w:tcBorders>
              <w:right w:val="single" w:sz="8" w:space="0" w:color="auto"/>
            </w:tcBorders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Q2.2</w:t>
            </w:r>
          </w:p>
        </w:tc>
        <w:tc>
          <w:tcPr>
            <w:tcW w:w="9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3157D" w:rsidRPr="00400662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  <w:tr w:rsidR="0073157D" w:rsidTr="00C156F1">
        <w:trPr>
          <w:cantSplit/>
          <w:trHeight w:val="56"/>
        </w:trPr>
        <w:tc>
          <w:tcPr>
            <w:tcW w:w="9892" w:type="dxa"/>
            <w:gridSpan w:val="5"/>
          </w:tcPr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  <w:sz w:val="4"/>
              </w:rPr>
            </w:pPr>
          </w:p>
        </w:tc>
      </w:tr>
      <w:tr w:rsidR="0073157D" w:rsidTr="00C156F1">
        <w:trPr>
          <w:cantSplit/>
        </w:trPr>
        <w:tc>
          <w:tcPr>
            <w:tcW w:w="886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Q2.3</w:t>
            </w:r>
          </w:p>
        </w:tc>
        <w:tc>
          <w:tcPr>
            <w:tcW w:w="4503" w:type="dxa"/>
            <w:tcBorders>
              <w:right w:val="single" w:sz="8" w:space="0" w:color="auto"/>
            </w:tcBorders>
          </w:tcPr>
          <w:p w:rsidR="0073157D" w:rsidRDefault="0073157D" w:rsidP="00C156F1">
            <w:pPr>
              <w:pStyle w:val="TableContents"/>
              <w:snapToGrid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nomination sent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</w:rPr>
            </w:pPr>
          </w:p>
        </w:tc>
      </w:tr>
      <w:tr w:rsidR="0073157D" w:rsidTr="00C156F1">
        <w:trPr>
          <w:cantSplit/>
          <w:trHeight w:val="154"/>
        </w:trPr>
        <w:tc>
          <w:tcPr>
            <w:tcW w:w="9892" w:type="dxa"/>
            <w:gridSpan w:val="5"/>
          </w:tcPr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  <w:sz w:val="4"/>
              </w:rPr>
            </w:pPr>
          </w:p>
        </w:tc>
      </w:tr>
      <w:tr w:rsidR="0073157D" w:rsidTr="00C156F1">
        <w:trPr>
          <w:cantSplit/>
        </w:trPr>
        <w:tc>
          <w:tcPr>
            <w:tcW w:w="886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Q2.4</w:t>
            </w:r>
          </w:p>
        </w:tc>
        <w:tc>
          <w:tcPr>
            <w:tcW w:w="4503" w:type="dxa"/>
            <w:tcBorders>
              <w:right w:val="single" w:sz="8" w:space="0" w:color="auto"/>
            </w:tcBorders>
          </w:tcPr>
          <w:p w:rsidR="0073157D" w:rsidRDefault="0073157D" w:rsidP="00C156F1">
            <w:pPr>
              <w:pStyle w:val="TableContents"/>
              <w:snapToGrid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Previous nominations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</w:rPr>
            </w:pPr>
          </w:p>
        </w:tc>
      </w:tr>
    </w:tbl>
    <w:p w:rsidR="0073157D" w:rsidRDefault="0073157D" w:rsidP="0073157D">
      <w:pPr>
        <w:pStyle w:val="BodyText"/>
        <w:rPr>
          <w:rFonts w:ascii="Verdana" w:hAnsi="Verdana"/>
        </w:rPr>
      </w:pPr>
    </w:p>
    <w:p w:rsidR="0073157D" w:rsidRDefault="0073157D" w:rsidP="0073157D">
      <w:pPr>
        <w:pStyle w:val="BodyText"/>
        <w:rPr>
          <w:rFonts w:ascii="Verdana" w:hAnsi="Verdana"/>
        </w:rPr>
      </w:pPr>
    </w:p>
    <w:tbl>
      <w:tblPr>
        <w:tblW w:w="9891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"/>
        <w:gridCol w:w="3750"/>
        <w:gridCol w:w="4993"/>
        <w:gridCol w:w="46"/>
        <w:gridCol w:w="66"/>
        <w:gridCol w:w="130"/>
        <w:gridCol w:w="20"/>
      </w:tblGrid>
      <w:tr w:rsidR="0073157D" w:rsidTr="00C156F1">
        <w:trPr>
          <w:gridAfter w:val="1"/>
          <w:wAfter w:w="20" w:type="dxa"/>
          <w:cantSplit/>
        </w:trPr>
        <w:tc>
          <w:tcPr>
            <w:tcW w:w="9629" w:type="dxa"/>
            <w:gridSpan w:val="3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Part Three – Interview</w:t>
            </w:r>
          </w:p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completed by Service Provider and returned to I&amp;SAT as soon as an interview date has been set.</w:t>
            </w:r>
          </w:p>
        </w:tc>
        <w:tc>
          <w:tcPr>
            <w:tcW w:w="4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30" w:type="dxa"/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</w:p>
        </w:tc>
      </w:tr>
      <w:tr w:rsidR="0073157D" w:rsidTr="00C156F1">
        <w:trPr>
          <w:cantSplit/>
          <w:trHeight w:val="740"/>
        </w:trPr>
        <w:tc>
          <w:tcPr>
            <w:tcW w:w="886" w:type="dxa"/>
          </w:tcPr>
          <w:p w:rsidR="0073157D" w:rsidRDefault="0073157D" w:rsidP="00C156F1">
            <w:pPr>
              <w:pStyle w:val="TableContents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Q3.1</w:t>
            </w:r>
          </w:p>
        </w:tc>
        <w:tc>
          <w:tcPr>
            <w:tcW w:w="3750" w:type="dxa"/>
          </w:tcPr>
          <w:p w:rsidR="0073157D" w:rsidRDefault="0073157D" w:rsidP="00C156F1">
            <w:pPr>
              <w:snapToGrid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date and time has been set for interviewing the applicant?</w:t>
            </w:r>
          </w:p>
        </w:tc>
        <w:tc>
          <w:tcPr>
            <w:tcW w:w="5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  <w:tr w:rsidR="0073157D" w:rsidTr="00C156F1">
        <w:trPr>
          <w:cantSplit/>
          <w:trHeight w:val="934"/>
        </w:trPr>
        <w:tc>
          <w:tcPr>
            <w:tcW w:w="886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Q3.2</w:t>
            </w:r>
          </w:p>
        </w:tc>
        <w:tc>
          <w:tcPr>
            <w:tcW w:w="3750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the applicant been informed?</w:t>
            </w:r>
          </w:p>
        </w:tc>
        <w:tc>
          <w:tcPr>
            <w:tcW w:w="52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</w:rPr>
            </w:pPr>
          </w:p>
        </w:tc>
      </w:tr>
    </w:tbl>
    <w:p w:rsidR="0073157D" w:rsidRDefault="0073157D" w:rsidP="0073157D">
      <w:pPr>
        <w:rPr>
          <w:rFonts w:ascii="Verdana" w:hAnsi="Verdana"/>
        </w:rPr>
      </w:pPr>
    </w:p>
    <w:tbl>
      <w:tblPr>
        <w:tblW w:w="9963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4547"/>
        <w:gridCol w:w="4572"/>
        <w:gridCol w:w="20"/>
      </w:tblGrid>
      <w:tr w:rsidR="0073157D" w:rsidTr="00C156F1">
        <w:trPr>
          <w:gridAfter w:val="1"/>
          <w:wAfter w:w="20" w:type="dxa"/>
          <w:cantSplit/>
        </w:trPr>
        <w:tc>
          <w:tcPr>
            <w:tcW w:w="9943" w:type="dxa"/>
            <w:gridSpan w:val="3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Part Four – Outcome</w:t>
            </w:r>
          </w:p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completed by Accommodation Provider</w:t>
            </w:r>
          </w:p>
        </w:tc>
      </w:tr>
      <w:tr w:rsidR="0073157D" w:rsidTr="00C156F1">
        <w:trPr>
          <w:cantSplit/>
        </w:trPr>
        <w:tc>
          <w:tcPr>
            <w:tcW w:w="9963" w:type="dxa"/>
            <w:gridSpan w:val="4"/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</w:p>
        </w:tc>
      </w:tr>
      <w:tr w:rsidR="0073157D" w:rsidTr="00C156F1">
        <w:tc>
          <w:tcPr>
            <w:tcW w:w="824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Q4.1</w:t>
            </w:r>
          </w:p>
        </w:tc>
        <w:tc>
          <w:tcPr>
            <w:tcW w:w="4547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was the outcome of the nomination/interview for the applicant named at 2.2 above?   (</w:t>
            </w:r>
            <w:r>
              <w:rPr>
                <w:rFonts w:ascii="Verdana" w:hAnsi="Verdana"/>
                <w:b/>
              </w:rPr>
              <w:t>delete as applicable</w:t>
            </w:r>
            <w:r>
              <w:rPr>
                <w:rFonts w:ascii="Verdana" w:hAnsi="Verdana"/>
              </w:rPr>
              <w:t xml:space="preserve">)  </w:t>
            </w:r>
          </w:p>
        </w:tc>
        <w:tc>
          <w:tcPr>
            <w:tcW w:w="4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Pr="00F82EA6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Accepted</w:t>
            </w:r>
            <w:r w:rsidRPr="00F82EA6">
              <w:rPr>
                <w:rFonts w:ascii="Verdana" w:hAnsi="Verdana"/>
                <w:b/>
                <w:sz w:val="32"/>
                <w:szCs w:val="32"/>
              </w:rPr>
              <w:t>/Not Accepted</w:t>
            </w:r>
          </w:p>
        </w:tc>
      </w:tr>
      <w:tr w:rsidR="0073157D" w:rsidTr="00C156F1">
        <w:trPr>
          <w:trHeight w:val="870"/>
        </w:trPr>
        <w:tc>
          <w:tcPr>
            <w:tcW w:w="824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Q4.2</w:t>
            </w:r>
          </w:p>
        </w:tc>
        <w:tc>
          <w:tcPr>
            <w:tcW w:w="4547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accepted or not accepted</w:t>
            </w:r>
          </w:p>
        </w:tc>
        <w:tc>
          <w:tcPr>
            <w:tcW w:w="45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28"/>
              </w:rPr>
            </w:pPr>
          </w:p>
        </w:tc>
      </w:tr>
      <w:tr w:rsidR="0073157D" w:rsidTr="00C156F1">
        <w:tc>
          <w:tcPr>
            <w:tcW w:w="824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Q4.3</w:t>
            </w:r>
          </w:p>
        </w:tc>
        <w:tc>
          <w:tcPr>
            <w:tcW w:w="4547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accepted, what was the date of their admission into the service</w:t>
            </w:r>
          </w:p>
        </w:tc>
        <w:tc>
          <w:tcPr>
            <w:tcW w:w="45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16"/>
              </w:rPr>
            </w:pPr>
          </w:p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16"/>
              </w:rPr>
            </w:pPr>
          </w:p>
          <w:p w:rsidR="0073157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szCs w:val="16"/>
              </w:rPr>
            </w:pPr>
          </w:p>
        </w:tc>
      </w:tr>
    </w:tbl>
    <w:p w:rsidR="0073157D" w:rsidRDefault="0073157D" w:rsidP="0073157D">
      <w:pPr>
        <w:pStyle w:val="List"/>
        <w:spacing w:after="0"/>
        <w:rPr>
          <w:rFonts w:ascii="Verdana" w:hAnsi="Verdana"/>
        </w:rPr>
      </w:pPr>
    </w:p>
    <w:tbl>
      <w:tblPr>
        <w:tblW w:w="9910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5"/>
        <w:gridCol w:w="3648"/>
        <w:gridCol w:w="426"/>
        <w:gridCol w:w="4536"/>
        <w:gridCol w:w="425"/>
      </w:tblGrid>
      <w:tr w:rsidR="0073157D" w:rsidRPr="00B951CD" w:rsidTr="00C156F1">
        <w:tc>
          <w:tcPr>
            <w:tcW w:w="875" w:type="dxa"/>
            <w:tcBorders>
              <w:bottom w:val="single" w:sz="8" w:space="0" w:color="auto"/>
            </w:tcBorders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Q4.4</w:t>
            </w:r>
          </w:p>
        </w:tc>
        <w:tc>
          <w:tcPr>
            <w:tcW w:w="9035" w:type="dxa"/>
            <w:gridSpan w:val="4"/>
            <w:tcBorders>
              <w:bottom w:val="single" w:sz="8" w:space="0" w:color="auto"/>
            </w:tcBorders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</w:rPr>
            </w:pPr>
            <w:r w:rsidRPr="00B951CD">
              <w:rPr>
                <w:rFonts w:ascii="Verdana" w:hAnsi="Verdana"/>
              </w:rPr>
              <w:t>If the applicant was NOT accepted please select a reason from the list below:</w:t>
            </w: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 xml:space="preserve">Client’s risk too high based on HSR info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Client’s risk too high based on interview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Risk too high from other residents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 xml:space="preserve">Inappropriate referral for service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Needs too low based on HSR info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Needs too low based on interview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Service ban/cooling off period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pStyle w:val="List"/>
              <w:spacing w:after="0"/>
              <w:rPr>
                <w:rFonts w:ascii="Verdana" w:hAnsi="Verdana" w:cs="Arial"/>
                <w:sz w:val="22"/>
                <w:szCs w:val="22"/>
              </w:rPr>
            </w:pPr>
            <w:r w:rsidRPr="00B951CD">
              <w:rPr>
                <w:rFonts w:ascii="Verdana" w:hAnsi="Verdana" w:cs="Arial"/>
                <w:sz w:val="22"/>
                <w:szCs w:val="22"/>
              </w:rPr>
              <w:t>Applicant refused service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Unable to contact applicant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Did not attend interview/sign up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Shortlisted by another provider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Inadequate referral/insufficient info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3157D" w:rsidRPr="00B951CD" w:rsidTr="00C156F1">
        <w:trPr>
          <w:trHeight w:val="284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57D" w:rsidRPr="00B951CD" w:rsidRDefault="0073157D" w:rsidP="00C156F1">
            <w:pPr>
              <w:rPr>
                <w:rFonts w:ascii="Verdana" w:hAnsi="Verdana"/>
              </w:rPr>
            </w:pPr>
            <w:r w:rsidRPr="00B951CD">
              <w:rPr>
                <w:rFonts w:ascii="Verdana" w:hAnsi="Verdana"/>
              </w:rPr>
              <w:t>Accepted for other service in the pathway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157D" w:rsidRPr="00B951CD" w:rsidRDefault="0073157D" w:rsidP="00C156F1">
            <w:pPr>
              <w:pStyle w:val="TableContents"/>
              <w:snapToGrid w:val="0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73157D" w:rsidRDefault="0073157D" w:rsidP="0073157D">
      <w:pPr>
        <w:pStyle w:val="List"/>
        <w:spacing w:after="0"/>
        <w:rPr>
          <w:rFonts w:ascii="Verdana" w:hAnsi="Verdana"/>
        </w:rPr>
      </w:pPr>
    </w:p>
    <w:tbl>
      <w:tblPr>
        <w:tblW w:w="9968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5"/>
        <w:gridCol w:w="9093"/>
      </w:tblGrid>
      <w:tr w:rsidR="0073157D" w:rsidTr="00C156F1">
        <w:trPr>
          <w:cantSplit/>
        </w:trPr>
        <w:tc>
          <w:tcPr>
            <w:tcW w:w="875" w:type="dxa"/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Q4.5</w:t>
            </w:r>
          </w:p>
        </w:tc>
        <w:tc>
          <w:tcPr>
            <w:tcW w:w="9093" w:type="dxa"/>
            <w:tcBorders>
              <w:bottom w:val="single" w:sz="8" w:space="0" w:color="000000"/>
            </w:tcBorders>
          </w:tcPr>
          <w:p w:rsidR="0073157D" w:rsidRDefault="0073157D" w:rsidP="00C156F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provide a further explanation of the refusal reason. If due to risk (from client or to client), please detail what would need to change for them to be accepted in the future.</w:t>
            </w:r>
          </w:p>
        </w:tc>
      </w:tr>
      <w:tr w:rsidR="0073157D" w:rsidTr="00C156F1">
        <w:trPr>
          <w:trHeight w:val="982"/>
        </w:trPr>
        <w:tc>
          <w:tcPr>
            <w:tcW w:w="875" w:type="dxa"/>
            <w:tcBorders>
              <w:right w:val="single" w:sz="8" w:space="0" w:color="000000"/>
            </w:tcBorders>
          </w:tcPr>
          <w:p w:rsidR="0073157D" w:rsidRDefault="0073157D" w:rsidP="00C156F1">
            <w:pPr>
              <w:pStyle w:val="TableContents"/>
              <w:snapToGrid w:val="0"/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</w:rPr>
            </w:pPr>
          </w:p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</w:rPr>
            </w:pPr>
          </w:p>
          <w:p w:rsidR="0073157D" w:rsidRDefault="0073157D" w:rsidP="00C156F1">
            <w:pPr>
              <w:pStyle w:val="TableContents"/>
              <w:snapToGrid w:val="0"/>
              <w:rPr>
                <w:rFonts w:ascii="Verdana" w:hAnsi="Verdana"/>
              </w:rPr>
            </w:pPr>
          </w:p>
        </w:tc>
      </w:tr>
    </w:tbl>
    <w:p w:rsidR="0073157D" w:rsidRDefault="0073157D" w:rsidP="0073157D">
      <w:pPr>
        <w:pStyle w:val="List"/>
        <w:spacing w:after="0"/>
        <w:rPr>
          <w:rFonts w:ascii="Verdana" w:hAnsi="Verdana"/>
        </w:rPr>
      </w:pPr>
    </w:p>
    <w:p w:rsidR="0073157D" w:rsidRPr="0073157D" w:rsidRDefault="0073157D" w:rsidP="0073157D"/>
    <w:sectPr w:rsidR="0073157D" w:rsidRPr="0073157D" w:rsidSect="00BF5AD3">
      <w:headerReference w:type="default" r:id="rId29"/>
      <w:footerReference w:type="default" r:id="rId30"/>
      <w:pgSz w:w="11906" w:h="16838"/>
      <w:pgMar w:top="1668" w:right="1440" w:bottom="1440" w:left="1440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0D" w:rsidRDefault="006A390D" w:rsidP="006A390D">
      <w:pPr>
        <w:spacing w:after="0" w:line="240" w:lineRule="auto"/>
      </w:pPr>
      <w:r>
        <w:separator/>
      </w:r>
    </w:p>
  </w:endnote>
  <w:endnote w:type="continuationSeparator" w:id="0">
    <w:p w:rsidR="006A390D" w:rsidRDefault="006A390D" w:rsidP="006A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762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88D" w:rsidRDefault="006A390D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398">
          <w:rPr>
            <w:noProof/>
          </w:rPr>
          <w:t>2</w:t>
        </w:r>
        <w:r>
          <w:rPr>
            <w:noProof/>
          </w:rPr>
          <w:fldChar w:fldCharType="end"/>
        </w:r>
      </w:p>
      <w:p w:rsidR="006A390D" w:rsidRDefault="00474398">
        <w:pPr>
          <w:pStyle w:val="Footer"/>
        </w:pPr>
      </w:p>
    </w:sdtContent>
  </w:sdt>
  <w:p w:rsidR="006A390D" w:rsidRPr="00A8388D" w:rsidRDefault="00A8388D">
    <w:pPr>
      <w:pStyle w:val="Footer"/>
      <w:rPr>
        <w:sz w:val="16"/>
      </w:rPr>
    </w:pPr>
    <w:r w:rsidRPr="00A8388D">
      <w:rPr>
        <w:sz w:val="16"/>
      </w:rPr>
      <w:fldChar w:fldCharType="begin"/>
    </w:r>
    <w:r w:rsidRPr="00A8388D">
      <w:rPr>
        <w:sz w:val="16"/>
      </w:rPr>
      <w:instrText xml:space="preserve"> FILENAME  \p  \* MERGEFORMAT </w:instrText>
    </w:r>
    <w:r w:rsidRPr="00A8388D">
      <w:rPr>
        <w:sz w:val="16"/>
      </w:rPr>
      <w:fldChar w:fldCharType="separate"/>
    </w:r>
    <w:r w:rsidR="006B02E1">
      <w:rPr>
        <w:noProof/>
        <w:sz w:val="16"/>
      </w:rPr>
      <w:t>N:\Mixed Homelessness Pathway\SOPs\Requiring sign off by SPG\Mixed Pathway Referal Procedure.docx</w:t>
    </w:r>
    <w:r w:rsidRPr="00A8388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0D" w:rsidRDefault="006A390D" w:rsidP="006A390D">
      <w:pPr>
        <w:spacing w:after="0" w:line="240" w:lineRule="auto"/>
      </w:pPr>
      <w:r>
        <w:separator/>
      </w:r>
    </w:p>
  </w:footnote>
  <w:footnote w:type="continuationSeparator" w:id="0">
    <w:p w:rsidR="006A390D" w:rsidRDefault="006A390D" w:rsidP="006A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0D" w:rsidRDefault="00A41AAA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2134B1DD" wp14:editId="7D981C96">
          <wp:extent cx="1248771" cy="618465"/>
          <wp:effectExtent l="0" t="0" r="0" b="0"/>
          <wp:docPr id="3" name="Picture 3" descr="cid:image001.png@01D0ACFD.380C2D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ACFD.380C2D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791" cy="61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B78">
      <w:t xml:space="preserve"> </w:t>
    </w:r>
    <w:r w:rsidR="003D6667">
      <w:t xml:space="preserve"> </w:t>
    </w:r>
    <w:r w:rsidR="00695B78">
      <w:t xml:space="preserve">  </w:t>
    </w:r>
    <w:r w:rsidR="003D6667" w:rsidRPr="00695B78">
      <w:rPr>
        <w:noProof/>
        <w:lang w:eastAsia="en-GB"/>
      </w:rPr>
      <w:drawing>
        <wp:inline distT="0" distB="0" distL="0" distR="0" wp14:anchorId="4F8D9443" wp14:editId="057DAC3B">
          <wp:extent cx="1357953" cy="374598"/>
          <wp:effectExtent l="0" t="0" r="0" b="6985"/>
          <wp:docPr id="1026" name="Picture 2" descr="http://www.netmagmedia.co.uk/wp-content/uploads/2015/06/image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netmagmedia.co.uk/wp-content/uploads/2015/06/image001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53" b="36173"/>
                  <a:stretch/>
                </pic:blipFill>
                <pic:spPr bwMode="auto">
                  <a:xfrm>
                    <a:off x="0" y="0"/>
                    <a:ext cx="1357823" cy="37456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95B78">
      <w:t xml:space="preserve"> </w:t>
    </w:r>
    <w:r w:rsidR="003D6667">
      <w:t xml:space="preserve">   </w:t>
    </w:r>
    <w:r>
      <w:rPr>
        <w:noProof/>
        <w:color w:val="1F497D"/>
        <w:lang w:eastAsia="en-GB"/>
      </w:rPr>
      <w:drawing>
        <wp:inline distT="0" distB="0" distL="0" distR="0" wp14:anchorId="4144F766" wp14:editId="0DD3E517">
          <wp:extent cx="1139588" cy="477353"/>
          <wp:effectExtent l="0" t="0" r="3810" b="0"/>
          <wp:docPr id="2" name="Picture 2" descr="StM_Logo_Main_web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Main_web (002)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34" cy="47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B78">
      <w:t xml:space="preserve">    </w:t>
    </w:r>
    <w:r w:rsidR="006A390D">
      <w:rPr>
        <w:noProof/>
        <w:lang w:eastAsia="en-GB"/>
      </w:rPr>
      <w:drawing>
        <wp:inline distT="0" distB="0" distL="0" distR="0" wp14:anchorId="15085F73" wp14:editId="7D428C2D">
          <wp:extent cx="1414328" cy="32072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_logo_rgb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58" cy="320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B78">
      <w:rPr>
        <w:noProof/>
        <w:lang w:eastAsia="en-GB"/>
      </w:rPr>
      <w:drawing>
        <wp:inline distT="0" distB="0" distL="0" distR="0" wp14:anchorId="7D088C89" wp14:editId="4C045D14">
          <wp:extent cx="5731510" cy="5382397"/>
          <wp:effectExtent l="0" t="0" r="2540" b="8890"/>
          <wp:docPr id="4" name="Picture 4" descr="Image result for riverside hous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riverside housing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8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7FD"/>
    <w:multiLevelType w:val="hybridMultilevel"/>
    <w:tmpl w:val="FA82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1C4A"/>
    <w:multiLevelType w:val="hybridMultilevel"/>
    <w:tmpl w:val="F81007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16257"/>
    <w:multiLevelType w:val="hybridMultilevel"/>
    <w:tmpl w:val="B34A8AA0"/>
    <w:lvl w:ilvl="0" w:tplc="C7D25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704E"/>
    <w:multiLevelType w:val="hybridMultilevel"/>
    <w:tmpl w:val="5498CAE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E76EDB"/>
    <w:multiLevelType w:val="hybridMultilevel"/>
    <w:tmpl w:val="2D547B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ED11D1"/>
    <w:multiLevelType w:val="hybridMultilevel"/>
    <w:tmpl w:val="4D0E6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7EED"/>
    <w:multiLevelType w:val="hybridMultilevel"/>
    <w:tmpl w:val="4AEA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4404A"/>
    <w:multiLevelType w:val="hybridMultilevel"/>
    <w:tmpl w:val="553E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7BB8"/>
    <w:multiLevelType w:val="hybridMultilevel"/>
    <w:tmpl w:val="0A9C6E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87B2AA4"/>
    <w:multiLevelType w:val="hybridMultilevel"/>
    <w:tmpl w:val="22CE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F10C74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5320"/>
    <w:multiLevelType w:val="hybridMultilevel"/>
    <w:tmpl w:val="6994AA2C"/>
    <w:lvl w:ilvl="0" w:tplc="C7D25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3DB"/>
    <w:multiLevelType w:val="hybridMultilevel"/>
    <w:tmpl w:val="A400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24173"/>
    <w:multiLevelType w:val="hybridMultilevel"/>
    <w:tmpl w:val="90188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87876"/>
    <w:multiLevelType w:val="hybridMultilevel"/>
    <w:tmpl w:val="2B4C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3370B"/>
    <w:multiLevelType w:val="hybridMultilevel"/>
    <w:tmpl w:val="9C7CB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F4561"/>
    <w:multiLevelType w:val="hybridMultilevel"/>
    <w:tmpl w:val="9CBED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150CFE"/>
    <w:multiLevelType w:val="hybridMultilevel"/>
    <w:tmpl w:val="A058E4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DA3242C"/>
    <w:multiLevelType w:val="hybridMultilevel"/>
    <w:tmpl w:val="A63E1E4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FD1C57"/>
    <w:multiLevelType w:val="hybridMultilevel"/>
    <w:tmpl w:val="E4E235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E4E05"/>
    <w:multiLevelType w:val="hybridMultilevel"/>
    <w:tmpl w:val="A5A4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B7296"/>
    <w:multiLevelType w:val="hybridMultilevel"/>
    <w:tmpl w:val="79E8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D01E9"/>
    <w:multiLevelType w:val="hybridMultilevel"/>
    <w:tmpl w:val="1162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1769A"/>
    <w:multiLevelType w:val="hybridMultilevel"/>
    <w:tmpl w:val="71B6B9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6"/>
  </w:num>
  <w:num w:numId="6">
    <w:abstractNumId w:val="5"/>
  </w:num>
  <w:num w:numId="7">
    <w:abstractNumId w:val="0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8"/>
  </w:num>
  <w:num w:numId="15">
    <w:abstractNumId w:val="9"/>
  </w:num>
  <w:num w:numId="16">
    <w:abstractNumId w:val="22"/>
  </w:num>
  <w:num w:numId="17">
    <w:abstractNumId w:val="4"/>
  </w:num>
  <w:num w:numId="18">
    <w:abstractNumId w:val="8"/>
  </w:num>
  <w:num w:numId="19">
    <w:abstractNumId w:val="1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D"/>
    <w:rsid w:val="00027029"/>
    <w:rsid w:val="000527D5"/>
    <w:rsid w:val="000636E6"/>
    <w:rsid w:val="0006464A"/>
    <w:rsid w:val="00076B55"/>
    <w:rsid w:val="00076E21"/>
    <w:rsid w:val="001111E6"/>
    <w:rsid w:val="00144A72"/>
    <w:rsid w:val="00145371"/>
    <w:rsid w:val="00160347"/>
    <w:rsid w:val="00162B7C"/>
    <w:rsid w:val="001722F7"/>
    <w:rsid w:val="00194B1D"/>
    <w:rsid w:val="002135C8"/>
    <w:rsid w:val="002371A6"/>
    <w:rsid w:val="00240FE4"/>
    <w:rsid w:val="00257EA2"/>
    <w:rsid w:val="0026155A"/>
    <w:rsid w:val="00294C56"/>
    <w:rsid w:val="002B0732"/>
    <w:rsid w:val="002C3ABB"/>
    <w:rsid w:val="002D4C1C"/>
    <w:rsid w:val="002D64D0"/>
    <w:rsid w:val="002E355A"/>
    <w:rsid w:val="002F38B8"/>
    <w:rsid w:val="00304FA8"/>
    <w:rsid w:val="00314725"/>
    <w:rsid w:val="00336841"/>
    <w:rsid w:val="00393B3C"/>
    <w:rsid w:val="003A6019"/>
    <w:rsid w:val="003C7BDE"/>
    <w:rsid w:val="003D2FD1"/>
    <w:rsid w:val="003D6667"/>
    <w:rsid w:val="00414038"/>
    <w:rsid w:val="00457262"/>
    <w:rsid w:val="00474398"/>
    <w:rsid w:val="00474BD2"/>
    <w:rsid w:val="0049483A"/>
    <w:rsid w:val="004B5518"/>
    <w:rsid w:val="004C059A"/>
    <w:rsid w:val="004C3EE8"/>
    <w:rsid w:val="00512278"/>
    <w:rsid w:val="00533ABD"/>
    <w:rsid w:val="00541D50"/>
    <w:rsid w:val="00564B37"/>
    <w:rsid w:val="00572C08"/>
    <w:rsid w:val="0057557B"/>
    <w:rsid w:val="005A2838"/>
    <w:rsid w:val="005B7D18"/>
    <w:rsid w:val="005C4122"/>
    <w:rsid w:val="005E2572"/>
    <w:rsid w:val="005F0304"/>
    <w:rsid w:val="005F39AF"/>
    <w:rsid w:val="00601FC0"/>
    <w:rsid w:val="00662D6E"/>
    <w:rsid w:val="006634B7"/>
    <w:rsid w:val="006743D9"/>
    <w:rsid w:val="00695B78"/>
    <w:rsid w:val="00696E73"/>
    <w:rsid w:val="006A390D"/>
    <w:rsid w:val="006B02E1"/>
    <w:rsid w:val="006C3202"/>
    <w:rsid w:val="006D6A7E"/>
    <w:rsid w:val="006E0A6B"/>
    <w:rsid w:val="006E5A51"/>
    <w:rsid w:val="006E65DD"/>
    <w:rsid w:val="00705C53"/>
    <w:rsid w:val="007078A1"/>
    <w:rsid w:val="0073157D"/>
    <w:rsid w:val="0073686B"/>
    <w:rsid w:val="00744E49"/>
    <w:rsid w:val="007F35C1"/>
    <w:rsid w:val="007F5445"/>
    <w:rsid w:val="00803A69"/>
    <w:rsid w:val="00830BBB"/>
    <w:rsid w:val="0083210D"/>
    <w:rsid w:val="00854774"/>
    <w:rsid w:val="00877359"/>
    <w:rsid w:val="00877500"/>
    <w:rsid w:val="008A2B7B"/>
    <w:rsid w:val="008A6E3A"/>
    <w:rsid w:val="008A771D"/>
    <w:rsid w:val="008D3ECD"/>
    <w:rsid w:val="0091477A"/>
    <w:rsid w:val="009246C6"/>
    <w:rsid w:val="00933102"/>
    <w:rsid w:val="009433DC"/>
    <w:rsid w:val="00961F47"/>
    <w:rsid w:val="00967637"/>
    <w:rsid w:val="009931BF"/>
    <w:rsid w:val="009F2E6D"/>
    <w:rsid w:val="00A33711"/>
    <w:rsid w:val="00A41AAA"/>
    <w:rsid w:val="00A47BE7"/>
    <w:rsid w:val="00A51848"/>
    <w:rsid w:val="00A8388D"/>
    <w:rsid w:val="00AA7A65"/>
    <w:rsid w:val="00AD448D"/>
    <w:rsid w:val="00AD7483"/>
    <w:rsid w:val="00B56310"/>
    <w:rsid w:val="00B56876"/>
    <w:rsid w:val="00B92A2C"/>
    <w:rsid w:val="00BA7964"/>
    <w:rsid w:val="00BF5AD3"/>
    <w:rsid w:val="00C01AAC"/>
    <w:rsid w:val="00C50CFB"/>
    <w:rsid w:val="00C716D1"/>
    <w:rsid w:val="00C76CF1"/>
    <w:rsid w:val="00C84B47"/>
    <w:rsid w:val="00C93345"/>
    <w:rsid w:val="00CB726B"/>
    <w:rsid w:val="00CC7DCB"/>
    <w:rsid w:val="00CE2D70"/>
    <w:rsid w:val="00CF16D1"/>
    <w:rsid w:val="00D25911"/>
    <w:rsid w:val="00D6140C"/>
    <w:rsid w:val="00D80B40"/>
    <w:rsid w:val="00D954ED"/>
    <w:rsid w:val="00DA26BF"/>
    <w:rsid w:val="00DC673C"/>
    <w:rsid w:val="00DC70EE"/>
    <w:rsid w:val="00DF13C4"/>
    <w:rsid w:val="00DF2417"/>
    <w:rsid w:val="00E1184A"/>
    <w:rsid w:val="00E132F2"/>
    <w:rsid w:val="00E13B12"/>
    <w:rsid w:val="00E626FE"/>
    <w:rsid w:val="00E8386C"/>
    <w:rsid w:val="00E83B18"/>
    <w:rsid w:val="00E859C3"/>
    <w:rsid w:val="00EA136D"/>
    <w:rsid w:val="00EA4F6D"/>
    <w:rsid w:val="00EC5173"/>
    <w:rsid w:val="00ED1053"/>
    <w:rsid w:val="00EE7629"/>
    <w:rsid w:val="00F108BF"/>
    <w:rsid w:val="00F512C9"/>
    <w:rsid w:val="00F66B7C"/>
    <w:rsid w:val="00FB2A46"/>
    <w:rsid w:val="00FC20DF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0D"/>
  </w:style>
  <w:style w:type="paragraph" w:styleId="Footer">
    <w:name w:val="footer"/>
    <w:basedOn w:val="Normal"/>
    <w:link w:val="FooterChar"/>
    <w:uiPriority w:val="99"/>
    <w:unhideWhenUsed/>
    <w:rsid w:val="006A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0D"/>
  </w:style>
  <w:style w:type="paragraph" w:styleId="BalloonText">
    <w:name w:val="Balloon Text"/>
    <w:basedOn w:val="Normal"/>
    <w:link w:val="BalloonTextChar"/>
    <w:uiPriority w:val="99"/>
    <w:semiHidden/>
    <w:unhideWhenUsed/>
    <w:rsid w:val="006A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3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2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AD3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914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77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45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44A72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73157D"/>
  </w:style>
  <w:style w:type="paragraph" w:styleId="BodyText">
    <w:name w:val="Body Text"/>
    <w:basedOn w:val="Normal"/>
    <w:link w:val="BodyTextChar"/>
    <w:semiHidden/>
    <w:rsid w:val="0073157D"/>
    <w:pPr>
      <w:widowControl w:val="0"/>
      <w:suppressLineNumbers/>
      <w:suppressAutoHyphens/>
      <w:spacing w:after="120" w:line="240" w:lineRule="auto"/>
    </w:pPr>
    <w:rPr>
      <w:rFonts w:ascii="Thorndale" w:eastAsia="Andale Sans UI" w:hAnsi="Thornda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3157D"/>
    <w:rPr>
      <w:rFonts w:ascii="Thorndale" w:eastAsia="Andale Sans UI" w:hAnsi="Thorndale" w:cs="Times New Roman"/>
      <w:sz w:val="24"/>
      <w:szCs w:val="24"/>
    </w:rPr>
  </w:style>
  <w:style w:type="paragraph" w:styleId="List">
    <w:name w:val="List"/>
    <w:basedOn w:val="BodyText"/>
    <w:semiHidden/>
    <w:rsid w:val="0073157D"/>
    <w:rPr>
      <w:rFonts w:cs="Tahoma"/>
    </w:rPr>
  </w:style>
  <w:style w:type="paragraph" w:customStyle="1" w:styleId="TableContents">
    <w:name w:val="Table Contents"/>
    <w:basedOn w:val="BodyText"/>
    <w:rsid w:val="0073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0D"/>
  </w:style>
  <w:style w:type="paragraph" w:styleId="Footer">
    <w:name w:val="footer"/>
    <w:basedOn w:val="Normal"/>
    <w:link w:val="FooterChar"/>
    <w:uiPriority w:val="99"/>
    <w:unhideWhenUsed/>
    <w:rsid w:val="006A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0D"/>
  </w:style>
  <w:style w:type="paragraph" w:styleId="BalloonText">
    <w:name w:val="Balloon Text"/>
    <w:basedOn w:val="Normal"/>
    <w:link w:val="BalloonTextChar"/>
    <w:uiPriority w:val="99"/>
    <w:semiHidden/>
    <w:unhideWhenUsed/>
    <w:rsid w:val="006A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3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2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AD3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914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77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45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44A72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73157D"/>
  </w:style>
  <w:style w:type="paragraph" w:styleId="BodyText">
    <w:name w:val="Body Text"/>
    <w:basedOn w:val="Normal"/>
    <w:link w:val="BodyTextChar"/>
    <w:semiHidden/>
    <w:rsid w:val="0073157D"/>
    <w:pPr>
      <w:widowControl w:val="0"/>
      <w:suppressLineNumbers/>
      <w:suppressAutoHyphens/>
      <w:spacing w:after="120" w:line="240" w:lineRule="auto"/>
    </w:pPr>
    <w:rPr>
      <w:rFonts w:ascii="Thorndale" w:eastAsia="Andale Sans UI" w:hAnsi="Thornda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3157D"/>
    <w:rPr>
      <w:rFonts w:ascii="Thorndale" w:eastAsia="Andale Sans UI" w:hAnsi="Thorndale" w:cs="Times New Roman"/>
      <w:sz w:val="24"/>
      <w:szCs w:val="24"/>
    </w:rPr>
  </w:style>
  <w:style w:type="paragraph" w:styleId="List">
    <w:name w:val="List"/>
    <w:basedOn w:val="BodyText"/>
    <w:semiHidden/>
    <w:rsid w:val="0073157D"/>
    <w:rPr>
      <w:rFonts w:cs="Tahoma"/>
    </w:rPr>
  </w:style>
  <w:style w:type="paragraph" w:customStyle="1" w:styleId="TableContents">
    <w:name w:val="Table Contents"/>
    <w:basedOn w:val="BodyText"/>
    <w:rsid w:val="0073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commodation.services@bristol.gov.uk" TargetMode="External"/><Relationship Id="rId18" Type="http://schemas.openxmlformats.org/officeDocument/2006/relationships/hyperlink" Target="javascript:submitForm(document.refCodeDomainForm,%20'call&amp;type=RefCode&amp;id=1172906');" TargetMode="External"/><Relationship Id="rId26" Type="http://schemas.openxmlformats.org/officeDocument/2006/relationships/hyperlink" Target="javascript:submitForm(document.refCodeDomainForm,%20'call&amp;type=RefCode&amp;id=5503667'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submitForm(document.refCodeDomainForm,%20'call&amp;type=RefCode&amp;id=31173')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javascript:submitForm(document.refCodeDomainForm,%20'call&amp;type=RefCode&amp;id=1172906');" TargetMode="External"/><Relationship Id="rId25" Type="http://schemas.openxmlformats.org/officeDocument/2006/relationships/hyperlink" Target="javascript:submitForm(document.refCodeDomainForm,%20'call&amp;type=RefCode&amp;id=1314465'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submitForm(document.refCodeDomainForm,%20'call&amp;type=RefCode&amp;id=31167');" TargetMode="External"/><Relationship Id="rId20" Type="http://schemas.openxmlformats.org/officeDocument/2006/relationships/hyperlink" Target="javascript:submitForm(document.refCodeDomainForm,%20'call&amp;type=RefCode&amp;id=5503714');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javascript:submitForm(document.refCodeDomainForm,%20'call&amp;type=RefCode&amp;id=5503717')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submitForm(document.refCodeDomainForm,%20'call&amp;type=RefCode&amp;id=5500840');" TargetMode="External"/><Relationship Id="rId23" Type="http://schemas.openxmlformats.org/officeDocument/2006/relationships/hyperlink" Target="javascript:submitForm(document.refCodeDomainForm,%20'call&amp;type=RefCode&amp;id=1314404');" TargetMode="External"/><Relationship Id="rId28" Type="http://schemas.openxmlformats.org/officeDocument/2006/relationships/hyperlink" Target="javascript:submitForm(document.refCodeDomainForm,%20'call&amp;type=RefCode&amp;id=1314425');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submitForm(document.refCodeDomainForm,%20'call&amp;type=RefCode&amp;id=5503573')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submitForm(document.refCodeDomainForm,%20'call&amp;type=RefCode&amp;id=949340');" TargetMode="External"/><Relationship Id="rId22" Type="http://schemas.openxmlformats.org/officeDocument/2006/relationships/hyperlink" Target="javascript:submitForm(document.refCodeDomainForm,%20'call&amp;type=RefCode&amp;id=5503698');" TargetMode="External"/><Relationship Id="rId27" Type="http://schemas.openxmlformats.org/officeDocument/2006/relationships/hyperlink" Target="javascript:submitForm(document.refCodeDomainForm,%20'call&amp;type=RefCode&amp;id=1314441');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0.jpeg"/><Relationship Id="rId2" Type="http://schemas.openxmlformats.org/officeDocument/2006/relationships/image" Target="cid:image001.png@01D399DD.6E21FE20" TargetMode="External"/><Relationship Id="rId1" Type="http://schemas.openxmlformats.org/officeDocument/2006/relationships/image" Target="media/image6.png"/><Relationship Id="rId6" Type="http://schemas.openxmlformats.org/officeDocument/2006/relationships/image" Target="media/image9.jpeg"/><Relationship Id="rId5" Type="http://schemas.openxmlformats.org/officeDocument/2006/relationships/image" Target="cid:image001.jpg@01D3A3FD.549E4BF0" TargetMode="External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Kelso</dc:creator>
  <cp:lastModifiedBy>Jane Greatorex</cp:lastModifiedBy>
  <cp:revision>2</cp:revision>
  <cp:lastPrinted>2018-03-13T16:32:00Z</cp:lastPrinted>
  <dcterms:created xsi:type="dcterms:W3CDTF">2019-04-25T10:17:00Z</dcterms:created>
  <dcterms:modified xsi:type="dcterms:W3CDTF">2019-04-25T10:17:00Z</dcterms:modified>
</cp:coreProperties>
</file>