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7D" w:rsidRPr="0007555D" w:rsidRDefault="0071367D" w:rsidP="0071367D">
      <w:pPr>
        <w:pStyle w:val="Heading1"/>
        <w:jc w:val="both"/>
        <w:rPr>
          <w:rFonts w:ascii="Arial" w:hAnsi="Arial" w:cs="Arial"/>
          <w:sz w:val="32"/>
          <w:szCs w:val="22"/>
        </w:rPr>
      </w:pPr>
      <w:bookmarkStart w:id="0" w:name="_Toc525563211"/>
      <w:r w:rsidRPr="0007555D">
        <w:rPr>
          <w:rFonts w:ascii="Arial" w:hAnsi="Arial" w:cs="Arial"/>
          <w:sz w:val="32"/>
          <w:szCs w:val="22"/>
        </w:rPr>
        <w:t>Mixed Pathway Criteria for throughput and entry</w:t>
      </w:r>
      <w:bookmarkEnd w:id="0"/>
    </w:p>
    <w:p w:rsidR="0071367D" w:rsidRPr="006A40F0" w:rsidRDefault="0071367D" w:rsidP="0071367D">
      <w:pPr>
        <w:pStyle w:val="Heading2"/>
        <w:spacing w:after="120"/>
        <w:jc w:val="both"/>
        <w:rPr>
          <w:rFonts w:ascii="Arial" w:hAnsi="Arial" w:cs="Arial"/>
          <w:sz w:val="24"/>
          <w:szCs w:val="22"/>
        </w:rPr>
      </w:pPr>
      <w:bookmarkStart w:id="1" w:name="_Toc525563212"/>
      <w:r w:rsidRPr="006A40F0">
        <w:rPr>
          <w:rFonts w:ascii="Arial" w:hAnsi="Arial" w:cs="Arial"/>
          <w:sz w:val="24"/>
          <w:szCs w:val="22"/>
        </w:rPr>
        <w:t>Value</w:t>
      </w:r>
      <w:r>
        <w:rPr>
          <w:rFonts w:ascii="Arial" w:hAnsi="Arial" w:cs="Arial"/>
          <w:sz w:val="24"/>
          <w:szCs w:val="22"/>
        </w:rPr>
        <w:t>s and</w:t>
      </w:r>
      <w:r w:rsidRPr="006A40F0">
        <w:rPr>
          <w:rFonts w:ascii="Arial" w:hAnsi="Arial" w:cs="Arial"/>
          <w:sz w:val="24"/>
          <w:szCs w:val="22"/>
        </w:rPr>
        <w:t xml:space="preserve"> Culture of Referrals</w:t>
      </w:r>
      <w:bookmarkStart w:id="2" w:name="_GoBack"/>
      <w:bookmarkEnd w:id="1"/>
      <w:bookmarkEnd w:id="2"/>
    </w:p>
    <w:p w:rsidR="0071367D" w:rsidRDefault="0071367D" w:rsidP="0071367D">
      <w:pPr>
        <w:jc w:val="both"/>
      </w:pPr>
      <w:r>
        <w:t xml:space="preserve">Providers </w:t>
      </w:r>
      <w:r w:rsidRPr="001A57AD">
        <w:t xml:space="preserve">always </w:t>
      </w:r>
      <w:r>
        <w:t xml:space="preserve">work to assess clients into a service rather than out of one, with a willingness to take positive risks to promote recovery. </w:t>
      </w:r>
    </w:p>
    <w:p w:rsidR="0071367D" w:rsidRPr="006A40F0" w:rsidRDefault="0071367D" w:rsidP="0071367D">
      <w:pPr>
        <w:pStyle w:val="Heading2"/>
        <w:spacing w:after="12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General </w:t>
      </w:r>
    </w:p>
    <w:p w:rsidR="0071367D" w:rsidRDefault="0071367D" w:rsidP="0071367D">
      <w:pPr>
        <w:jc w:val="both"/>
      </w:pPr>
      <w:r>
        <w:t>All referrals at point of entry have been assessed by BCC to ensure that they meet the pathway criteria, this includes age (generally 22+ with some exceptions), right to rent, eligibility for HB and housing, housing/homelessness status, need for support etc.</w:t>
      </w:r>
    </w:p>
    <w:p w:rsidR="0071367D" w:rsidRDefault="0071367D" w:rsidP="0071367D">
      <w:pPr>
        <w:jc w:val="both"/>
      </w:pPr>
      <w:r>
        <w:t>Clients with a history of arson can be accepted by all providers but this is subject to a risk assessment process completed and authorised before a referral can be accepted.</w:t>
      </w:r>
    </w:p>
    <w:p w:rsidR="009A3561" w:rsidRDefault="009A3561" w:rsidP="0071367D">
      <w:pPr>
        <w:jc w:val="both"/>
      </w:pPr>
      <w:r>
        <w:t xml:space="preserve">All services take a person-centred approach and provide support, information, advice and signposting around a range of support needs including for example </w:t>
      </w:r>
      <w:r w:rsidR="00BA26AA">
        <w:t xml:space="preserve">managing finances, </w:t>
      </w:r>
      <w:proofErr w:type="spellStart"/>
      <w:r w:rsidR="00C70DC3">
        <w:t>lifeskills</w:t>
      </w:r>
      <w:proofErr w:type="spellEnd"/>
      <w:r w:rsidR="00C70DC3">
        <w:t xml:space="preserve">, </w:t>
      </w:r>
      <w:r>
        <w:t>health</w:t>
      </w:r>
      <w:r w:rsidR="00E827C1">
        <w:t xml:space="preserve"> services</w:t>
      </w:r>
      <w:r>
        <w:t>, mental health services, substance use, education training and employment</w:t>
      </w:r>
      <w:r w:rsidR="00F401AF">
        <w:t>, community resources</w:t>
      </w:r>
      <w:r>
        <w:t>.</w:t>
      </w:r>
      <w:r w:rsidR="00BA26AA">
        <w:t xml:space="preserve">  The focus of all services is supporting clients to progress and prepare them for their future.</w:t>
      </w:r>
    </w:p>
    <w:p w:rsidR="009A3561" w:rsidRDefault="009A3561" w:rsidP="0071367D">
      <w:pPr>
        <w:jc w:val="both"/>
      </w:pPr>
      <w:r>
        <w:t>All services provide regular</w:t>
      </w:r>
      <w:r w:rsidR="00C70DC3">
        <w:t xml:space="preserve"> weekly</w:t>
      </w:r>
      <w:r>
        <w:t xml:space="preserve"> </w:t>
      </w:r>
      <w:proofErr w:type="spellStart"/>
      <w:r>
        <w:t>keyworking</w:t>
      </w:r>
      <w:proofErr w:type="spellEnd"/>
      <w:r w:rsidR="00C70DC3">
        <w:t xml:space="preserve"> (can be fortnightly at Level 4)</w:t>
      </w:r>
      <w:r>
        <w:t xml:space="preserve">, assessment and </w:t>
      </w:r>
      <w:r w:rsidR="00C70DC3">
        <w:t>support</w:t>
      </w:r>
      <w:r>
        <w:t xml:space="preserve"> planning </w:t>
      </w:r>
      <w:r w:rsidR="00E827C1">
        <w:t xml:space="preserve">which are </w:t>
      </w:r>
      <w:r w:rsidR="00C70DC3">
        <w:t>co-</w:t>
      </w:r>
      <w:r w:rsidR="00E827C1">
        <w:t xml:space="preserve">developed </w:t>
      </w:r>
      <w:r>
        <w:t>with clients.</w:t>
      </w:r>
      <w:r w:rsidR="00F401AF">
        <w:t xml:space="preserve">  Preparation for move-on is a focus for all services</w:t>
      </w:r>
    </w:p>
    <w:p w:rsidR="0071367D" w:rsidRDefault="0071367D" w:rsidP="0071367D">
      <w:pPr>
        <w:jc w:val="both"/>
      </w:pPr>
      <w:r>
        <w:t>For moves all services require:</w:t>
      </w:r>
    </w:p>
    <w:p w:rsidR="0071367D" w:rsidRPr="00827176" w:rsidRDefault="007E55CF" w:rsidP="0071367D">
      <w:pPr>
        <w:pStyle w:val="ListParagraph"/>
        <w:numPr>
          <w:ilvl w:val="0"/>
          <w:numId w:val="1"/>
        </w:numPr>
        <w:jc w:val="both"/>
        <w:rPr>
          <w:b/>
        </w:rPr>
      </w:pPr>
      <w:r w:rsidRPr="00827176">
        <w:rPr>
          <w:b/>
        </w:rPr>
        <w:t>T</w:t>
      </w:r>
      <w:r w:rsidR="0071367D" w:rsidRPr="00827176">
        <w:rPr>
          <w:b/>
        </w:rPr>
        <w:t>he HSR to be up to date</w:t>
      </w:r>
    </w:p>
    <w:p w:rsidR="0071367D" w:rsidRPr="00827176" w:rsidRDefault="0071367D" w:rsidP="0071367D">
      <w:pPr>
        <w:pStyle w:val="ListParagraph"/>
        <w:numPr>
          <w:ilvl w:val="0"/>
          <w:numId w:val="1"/>
        </w:numPr>
        <w:jc w:val="both"/>
        <w:rPr>
          <w:b/>
        </w:rPr>
      </w:pPr>
      <w:r w:rsidRPr="00827176">
        <w:rPr>
          <w:b/>
        </w:rPr>
        <w:t>An up to date Risk Assessment plan</w:t>
      </w:r>
    </w:p>
    <w:p w:rsidR="009A3561" w:rsidRPr="00827176" w:rsidRDefault="009A3561" w:rsidP="0071367D">
      <w:pPr>
        <w:pStyle w:val="ListParagraph"/>
        <w:numPr>
          <w:ilvl w:val="0"/>
          <w:numId w:val="1"/>
        </w:numPr>
        <w:jc w:val="both"/>
        <w:rPr>
          <w:b/>
        </w:rPr>
      </w:pPr>
      <w:r w:rsidRPr="00827176">
        <w:rPr>
          <w:b/>
        </w:rPr>
        <w:t>Transition plan in place</w:t>
      </w:r>
    </w:p>
    <w:p w:rsidR="00F401AF" w:rsidRPr="00827176" w:rsidRDefault="00F401AF" w:rsidP="0071367D">
      <w:pPr>
        <w:pStyle w:val="ListParagraph"/>
        <w:numPr>
          <w:ilvl w:val="0"/>
          <w:numId w:val="1"/>
        </w:numPr>
        <w:jc w:val="both"/>
        <w:rPr>
          <w:b/>
        </w:rPr>
      </w:pPr>
      <w:r w:rsidRPr="00827176">
        <w:rPr>
          <w:b/>
        </w:rPr>
        <w:t>Client able to manage with the level of support available</w:t>
      </w:r>
    </w:p>
    <w:p w:rsidR="00E827C1" w:rsidRDefault="00E827C1" w:rsidP="00E827C1">
      <w:pPr>
        <w:jc w:val="both"/>
      </w:pPr>
      <w:r>
        <w:t>There are no standard exclusions.  The</w:t>
      </w:r>
      <w:r w:rsidR="00F401AF">
        <w:t xml:space="preserve"> reasons why a referral may be rejected are:</w:t>
      </w:r>
    </w:p>
    <w:p w:rsidR="00F401AF" w:rsidRDefault="00F401AF" w:rsidP="00F401AF">
      <w:pPr>
        <w:pStyle w:val="ListParagraph"/>
        <w:numPr>
          <w:ilvl w:val="0"/>
          <w:numId w:val="7"/>
        </w:numPr>
        <w:jc w:val="both"/>
      </w:pPr>
      <w:r>
        <w:t>Service genuinely unable to manage risks presented with the support available</w:t>
      </w:r>
    </w:p>
    <w:p w:rsidR="00F401AF" w:rsidRDefault="00F401AF" w:rsidP="00F401AF">
      <w:pPr>
        <w:pStyle w:val="ListParagraph"/>
        <w:numPr>
          <w:ilvl w:val="0"/>
          <w:numId w:val="7"/>
        </w:numPr>
        <w:jc w:val="both"/>
      </w:pPr>
      <w:r>
        <w:t>Client not suitable for the service e</w:t>
      </w:r>
      <w:r w:rsidR="007E55CF">
        <w:t>.</w:t>
      </w:r>
      <w:r>
        <w:t>g. not homeless, requires residential or live-in care</w:t>
      </w:r>
      <w:r w:rsidR="00B013B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969"/>
        <w:gridCol w:w="2977"/>
        <w:gridCol w:w="1762"/>
      </w:tblGrid>
      <w:tr w:rsidR="00C70DC3" w:rsidTr="00C70DC3">
        <w:tc>
          <w:tcPr>
            <w:tcW w:w="1838" w:type="dxa"/>
          </w:tcPr>
          <w:p w:rsidR="0071367D" w:rsidRDefault="00B013B4" w:rsidP="00B013B4">
            <w:pPr>
              <w:pStyle w:val="Heading2"/>
              <w:spacing w:after="120"/>
              <w:jc w:val="both"/>
              <w:outlineLvl w:val="1"/>
            </w:pPr>
            <w:r>
              <w:rPr>
                <w:rFonts w:ascii="Arial" w:hAnsi="Arial" w:cs="Arial"/>
                <w:sz w:val="24"/>
                <w:szCs w:val="22"/>
              </w:rPr>
              <w:lastRenderedPageBreak/>
              <w:t>Specifics</w:t>
            </w:r>
          </w:p>
        </w:tc>
        <w:tc>
          <w:tcPr>
            <w:tcW w:w="3402" w:type="dxa"/>
          </w:tcPr>
          <w:p w:rsidR="0071367D" w:rsidRPr="00F401AF" w:rsidRDefault="0071367D" w:rsidP="00C70DC3">
            <w:pPr>
              <w:rPr>
                <w:b/>
              </w:rPr>
            </w:pPr>
            <w:r w:rsidRPr="00F401AF">
              <w:rPr>
                <w:b/>
              </w:rPr>
              <w:t>Offer</w:t>
            </w:r>
          </w:p>
        </w:tc>
        <w:tc>
          <w:tcPr>
            <w:tcW w:w="3969" w:type="dxa"/>
          </w:tcPr>
          <w:p w:rsidR="0071367D" w:rsidRPr="00F401AF" w:rsidRDefault="0071367D" w:rsidP="00C70DC3">
            <w:pPr>
              <w:rPr>
                <w:b/>
              </w:rPr>
            </w:pPr>
            <w:r w:rsidRPr="00F401AF">
              <w:rPr>
                <w:b/>
              </w:rPr>
              <w:t>Criteria</w:t>
            </w:r>
          </w:p>
        </w:tc>
        <w:tc>
          <w:tcPr>
            <w:tcW w:w="2977" w:type="dxa"/>
          </w:tcPr>
          <w:p w:rsidR="0071367D" w:rsidRPr="00F401AF" w:rsidRDefault="0071367D" w:rsidP="0007555D">
            <w:pPr>
              <w:spacing w:after="0"/>
              <w:rPr>
                <w:b/>
              </w:rPr>
            </w:pPr>
            <w:r w:rsidRPr="00F401AF">
              <w:rPr>
                <w:b/>
              </w:rPr>
              <w:t>Accessibility, couples</w:t>
            </w:r>
            <w:r w:rsidR="00C70DC3">
              <w:rPr>
                <w:b/>
              </w:rPr>
              <w:t xml:space="preserve">, </w:t>
            </w:r>
            <w:r w:rsidRPr="00F401AF">
              <w:rPr>
                <w:b/>
              </w:rPr>
              <w:t>dogs</w:t>
            </w:r>
          </w:p>
        </w:tc>
        <w:tc>
          <w:tcPr>
            <w:tcW w:w="1762" w:type="dxa"/>
          </w:tcPr>
          <w:p w:rsidR="0071367D" w:rsidRPr="00F401AF" w:rsidRDefault="00BA26AA" w:rsidP="00C70DC3">
            <w:pPr>
              <w:rPr>
                <w:b/>
              </w:rPr>
            </w:pPr>
            <w:r>
              <w:rPr>
                <w:b/>
              </w:rPr>
              <w:t>Other info</w:t>
            </w:r>
          </w:p>
        </w:tc>
      </w:tr>
      <w:tr w:rsidR="00C70DC3" w:rsidTr="00C70DC3">
        <w:tc>
          <w:tcPr>
            <w:tcW w:w="1838" w:type="dxa"/>
          </w:tcPr>
          <w:p w:rsidR="0071367D" w:rsidRDefault="0071367D" w:rsidP="009A3561">
            <w:r w:rsidRPr="00F401AF">
              <w:rPr>
                <w:b/>
              </w:rPr>
              <w:t>Level 1</w:t>
            </w:r>
            <w:r w:rsidR="009A3561">
              <w:t xml:space="preserve"> (Jamaica Street, </w:t>
            </w:r>
            <w:proofErr w:type="spellStart"/>
            <w:r w:rsidR="009A3561">
              <w:t>Longhills</w:t>
            </w:r>
            <w:proofErr w:type="spellEnd"/>
            <w:r w:rsidR="009A3561">
              <w:t>, Tollhouse Court)</w:t>
            </w:r>
          </w:p>
        </w:tc>
        <w:tc>
          <w:tcPr>
            <w:tcW w:w="3402" w:type="dxa"/>
          </w:tcPr>
          <w:p w:rsidR="0071367D" w:rsidRDefault="0071367D" w:rsidP="009A3561">
            <w:pPr>
              <w:pStyle w:val="ListParagraph"/>
              <w:numPr>
                <w:ilvl w:val="0"/>
                <w:numId w:val="2"/>
              </w:numPr>
              <w:ind w:left="359" w:hanging="284"/>
            </w:pPr>
            <w:r>
              <w:t>Harm reduction</w:t>
            </w:r>
          </w:p>
          <w:p w:rsidR="009A3561" w:rsidRDefault="009A3561" w:rsidP="009A3561">
            <w:pPr>
              <w:pStyle w:val="ListParagraph"/>
              <w:numPr>
                <w:ilvl w:val="0"/>
                <w:numId w:val="2"/>
              </w:numPr>
              <w:ind w:left="359" w:hanging="284"/>
            </w:pPr>
            <w:r>
              <w:t xml:space="preserve">Support and signposting  </w:t>
            </w:r>
          </w:p>
          <w:p w:rsidR="009A3561" w:rsidRDefault="009A3561" w:rsidP="009A3561">
            <w:pPr>
              <w:pStyle w:val="ListParagraph"/>
              <w:numPr>
                <w:ilvl w:val="0"/>
                <w:numId w:val="2"/>
              </w:numPr>
              <w:ind w:left="359" w:hanging="284"/>
            </w:pPr>
            <w:r>
              <w:t>24/7 waking staff support</w:t>
            </w:r>
          </w:p>
          <w:p w:rsidR="00BA26AA" w:rsidRDefault="00BA26AA" w:rsidP="009A3561">
            <w:pPr>
              <w:pStyle w:val="ListParagraph"/>
              <w:numPr>
                <w:ilvl w:val="0"/>
                <w:numId w:val="2"/>
              </w:numPr>
              <w:ind w:left="359" w:hanging="284"/>
            </w:pPr>
            <w:r>
              <w:t>Primarily shared facilities</w:t>
            </w:r>
          </w:p>
        </w:tc>
        <w:tc>
          <w:tcPr>
            <w:tcW w:w="3969" w:type="dxa"/>
          </w:tcPr>
          <w:p w:rsidR="0071367D" w:rsidRDefault="0071367D" w:rsidP="009A3561">
            <w:pPr>
              <w:pStyle w:val="ListParagraph"/>
              <w:numPr>
                <w:ilvl w:val="0"/>
                <w:numId w:val="2"/>
              </w:numPr>
              <w:ind w:left="405" w:hanging="284"/>
            </w:pPr>
            <w:r>
              <w:t>BCC criteria</w:t>
            </w:r>
          </w:p>
          <w:p w:rsidR="0071367D" w:rsidRDefault="009A3561" w:rsidP="009A3561">
            <w:pPr>
              <w:pStyle w:val="ListParagraph"/>
              <w:numPr>
                <w:ilvl w:val="0"/>
                <w:numId w:val="2"/>
              </w:numPr>
              <w:ind w:left="405" w:hanging="284"/>
            </w:pPr>
            <w:r>
              <w:t>Assessed as r</w:t>
            </w:r>
            <w:r w:rsidR="0071367D">
              <w:t>equir</w:t>
            </w:r>
            <w:r>
              <w:t>ing</w:t>
            </w:r>
            <w:r w:rsidR="0071367D">
              <w:t xml:space="preserve"> 24/7 support</w:t>
            </w:r>
          </w:p>
        </w:tc>
        <w:tc>
          <w:tcPr>
            <w:tcW w:w="2977" w:type="dxa"/>
          </w:tcPr>
          <w:p w:rsidR="0071367D" w:rsidRDefault="0071367D" w:rsidP="009A3561">
            <w:pPr>
              <w:pStyle w:val="ListParagraph"/>
              <w:numPr>
                <w:ilvl w:val="0"/>
                <w:numId w:val="2"/>
              </w:numPr>
              <w:ind w:left="450" w:hanging="284"/>
            </w:pPr>
            <w:r>
              <w:t>Some wheelchair accessible rooms</w:t>
            </w:r>
          </w:p>
          <w:p w:rsidR="009A3561" w:rsidRDefault="009A3561" w:rsidP="009A3561">
            <w:pPr>
              <w:pStyle w:val="ListParagraph"/>
              <w:numPr>
                <w:ilvl w:val="0"/>
                <w:numId w:val="2"/>
              </w:numPr>
              <w:ind w:left="450" w:hanging="284"/>
            </w:pPr>
            <w:r>
              <w:t xml:space="preserve">Up to </w:t>
            </w:r>
            <w:r w:rsidR="00BA26AA">
              <w:t>7</w:t>
            </w:r>
            <w:r>
              <w:t xml:space="preserve"> dogs. </w:t>
            </w:r>
          </w:p>
          <w:p w:rsidR="009A3561" w:rsidRDefault="009A3561" w:rsidP="009A3561">
            <w:pPr>
              <w:pStyle w:val="ListParagraph"/>
              <w:numPr>
                <w:ilvl w:val="0"/>
                <w:numId w:val="2"/>
              </w:numPr>
              <w:ind w:left="450" w:hanging="284"/>
            </w:pPr>
            <w:r>
              <w:t>Couples can be accommodated</w:t>
            </w:r>
          </w:p>
        </w:tc>
        <w:tc>
          <w:tcPr>
            <w:tcW w:w="1762" w:type="dxa"/>
          </w:tcPr>
          <w:p w:rsidR="0071367D" w:rsidRDefault="00F401AF" w:rsidP="00BA26AA">
            <w:r>
              <w:t>Licence Agr</w:t>
            </w:r>
            <w:r w:rsidR="00BA26AA">
              <w:t xml:space="preserve">eements, </w:t>
            </w:r>
            <w:r>
              <w:t>Tollhouse has ASTs</w:t>
            </w:r>
          </w:p>
        </w:tc>
      </w:tr>
      <w:tr w:rsidR="00C70DC3" w:rsidTr="00C70DC3">
        <w:tc>
          <w:tcPr>
            <w:tcW w:w="1838" w:type="dxa"/>
          </w:tcPr>
          <w:p w:rsidR="0071367D" w:rsidRDefault="009A3561" w:rsidP="009A3561">
            <w:r w:rsidRPr="00F401AF">
              <w:rPr>
                <w:b/>
              </w:rPr>
              <w:t>Level 2</w:t>
            </w:r>
            <w:r>
              <w:t xml:space="preserve"> (Kensington House, Hillside Street, Tollhouse Court)</w:t>
            </w:r>
          </w:p>
        </w:tc>
        <w:tc>
          <w:tcPr>
            <w:tcW w:w="3402" w:type="dxa"/>
          </w:tcPr>
          <w:p w:rsidR="0071367D" w:rsidRDefault="00DE3D8A" w:rsidP="009A3561">
            <w:pPr>
              <w:pStyle w:val="ListParagraph"/>
              <w:numPr>
                <w:ilvl w:val="0"/>
                <w:numId w:val="3"/>
              </w:numPr>
              <w:ind w:left="359" w:hanging="284"/>
            </w:pPr>
            <w:r>
              <w:t xml:space="preserve">Kensington / Hillside </w:t>
            </w:r>
            <w:r w:rsidR="00F7208A">
              <w:t>s</w:t>
            </w:r>
            <w:r w:rsidR="009A3561">
              <w:t xml:space="preserve">taff </w:t>
            </w:r>
            <w:r w:rsidR="00BA26AA">
              <w:t>on site</w:t>
            </w:r>
            <w:r w:rsidR="00B013B4">
              <w:t>,</w:t>
            </w:r>
            <w:r w:rsidR="00BA26AA">
              <w:t xml:space="preserve"> </w:t>
            </w:r>
            <w:r w:rsidR="009A3561">
              <w:t>9-5 Mon-Fri</w:t>
            </w:r>
          </w:p>
          <w:p w:rsidR="00F04EE5" w:rsidRDefault="00F04EE5" w:rsidP="009A3561">
            <w:pPr>
              <w:pStyle w:val="ListParagraph"/>
              <w:numPr>
                <w:ilvl w:val="0"/>
                <w:numId w:val="3"/>
              </w:numPr>
              <w:ind w:left="359" w:hanging="284"/>
            </w:pPr>
            <w:r>
              <w:t xml:space="preserve">Tollhouse </w:t>
            </w:r>
            <w:r w:rsidR="00A303AD">
              <w:t xml:space="preserve">waking </w:t>
            </w:r>
            <w:r>
              <w:t>staff on site 24/7</w:t>
            </w:r>
          </w:p>
          <w:p w:rsidR="00E827C1" w:rsidRDefault="00E827C1" w:rsidP="009A3561">
            <w:pPr>
              <w:pStyle w:val="ListParagraph"/>
              <w:numPr>
                <w:ilvl w:val="0"/>
                <w:numId w:val="3"/>
              </w:numPr>
              <w:ind w:left="359" w:hanging="284"/>
            </w:pPr>
            <w:r>
              <w:t>Working towards recovery</w:t>
            </w:r>
          </w:p>
          <w:p w:rsidR="00BA26AA" w:rsidRDefault="00BA26AA" w:rsidP="009A3561">
            <w:pPr>
              <w:pStyle w:val="ListParagraph"/>
              <w:numPr>
                <w:ilvl w:val="0"/>
                <w:numId w:val="3"/>
              </w:numPr>
              <w:ind w:left="359" w:hanging="284"/>
            </w:pPr>
            <w:r>
              <w:t>Tollhouse is self-contained, others are shared houses</w:t>
            </w:r>
          </w:p>
        </w:tc>
        <w:tc>
          <w:tcPr>
            <w:tcW w:w="3969" w:type="dxa"/>
          </w:tcPr>
          <w:p w:rsidR="0071367D" w:rsidRDefault="00A655C0" w:rsidP="009A3561">
            <w:pPr>
              <w:pStyle w:val="ListParagraph"/>
              <w:numPr>
                <w:ilvl w:val="0"/>
                <w:numId w:val="3"/>
              </w:numPr>
              <w:ind w:left="405" w:hanging="284"/>
            </w:pPr>
            <w:r>
              <w:t>Tollhouse requires e</w:t>
            </w:r>
            <w:r w:rsidR="009A3561">
              <w:t>ngagement with staff and / or services around substance use and mental health</w:t>
            </w:r>
          </w:p>
          <w:p w:rsidR="00D6371A" w:rsidRDefault="00D6371A" w:rsidP="00D6371A">
            <w:pPr>
              <w:pStyle w:val="ListParagraph"/>
              <w:numPr>
                <w:ilvl w:val="0"/>
                <w:numId w:val="3"/>
              </w:numPr>
              <w:ind w:left="405" w:hanging="284"/>
            </w:pPr>
            <w:r>
              <w:t xml:space="preserve">Engagement with services is </w:t>
            </w:r>
            <w:r w:rsidR="00B31381">
              <w:t>NOT</w:t>
            </w:r>
            <w:r>
              <w:t xml:space="preserve"> entry pre-requisite at Hillside / Kensington</w:t>
            </w:r>
          </w:p>
          <w:p w:rsidR="009A3561" w:rsidRDefault="009A3561" w:rsidP="009A3561">
            <w:pPr>
              <w:pStyle w:val="ListParagraph"/>
              <w:numPr>
                <w:ilvl w:val="0"/>
                <w:numId w:val="3"/>
              </w:numPr>
              <w:ind w:left="405" w:hanging="284"/>
            </w:pPr>
            <w:r>
              <w:t>Care package in place where required</w:t>
            </w:r>
          </w:p>
          <w:p w:rsidR="009A3561" w:rsidRDefault="00C70DC3" w:rsidP="00BA26AA">
            <w:pPr>
              <w:pStyle w:val="ListParagraph"/>
              <w:numPr>
                <w:ilvl w:val="0"/>
                <w:numId w:val="3"/>
              </w:numPr>
              <w:ind w:left="405" w:hanging="284"/>
            </w:pPr>
            <w:r>
              <w:t>Paying</w:t>
            </w:r>
            <w:r w:rsidR="009A3561">
              <w:t xml:space="preserve"> rent regularly</w:t>
            </w:r>
          </w:p>
        </w:tc>
        <w:tc>
          <w:tcPr>
            <w:tcW w:w="2977" w:type="dxa"/>
          </w:tcPr>
          <w:p w:rsidR="0071367D" w:rsidRDefault="00BA26AA" w:rsidP="00BA26AA">
            <w:pPr>
              <w:pStyle w:val="ListParagraph"/>
              <w:numPr>
                <w:ilvl w:val="0"/>
                <w:numId w:val="3"/>
              </w:numPr>
              <w:ind w:left="450" w:hanging="284"/>
            </w:pPr>
            <w:r>
              <w:t>Some accessible rooms at Tollhouse</w:t>
            </w:r>
            <w:r w:rsidR="00C70DC3">
              <w:t xml:space="preserve"> and one at Hillside</w:t>
            </w:r>
          </w:p>
          <w:p w:rsidR="00BA26AA" w:rsidRDefault="00BA26AA" w:rsidP="00BA26AA">
            <w:pPr>
              <w:pStyle w:val="ListParagraph"/>
              <w:numPr>
                <w:ilvl w:val="0"/>
                <w:numId w:val="3"/>
              </w:numPr>
              <w:ind w:left="450" w:hanging="284"/>
            </w:pPr>
            <w:r>
              <w:t>Dogs accepted at Hillside and Kensington</w:t>
            </w:r>
            <w:r w:rsidR="00757B8F">
              <w:t xml:space="preserve"> and Toll House Court</w:t>
            </w:r>
          </w:p>
          <w:p w:rsidR="00BA26AA" w:rsidRDefault="00BA26AA" w:rsidP="00BA26AA">
            <w:pPr>
              <w:pStyle w:val="ListParagraph"/>
              <w:numPr>
                <w:ilvl w:val="0"/>
                <w:numId w:val="3"/>
              </w:numPr>
              <w:ind w:left="450" w:hanging="284"/>
            </w:pPr>
            <w:r>
              <w:t>Couples can be accommodated</w:t>
            </w:r>
          </w:p>
        </w:tc>
        <w:tc>
          <w:tcPr>
            <w:tcW w:w="1762" w:type="dxa"/>
          </w:tcPr>
          <w:p w:rsidR="0071367D" w:rsidRDefault="00F401AF" w:rsidP="00BA26AA">
            <w:r>
              <w:t>Licence Agreements</w:t>
            </w:r>
            <w:r w:rsidR="00BA26AA">
              <w:t xml:space="preserve">, </w:t>
            </w:r>
            <w:r>
              <w:t>Tollhouse has ASTs</w:t>
            </w:r>
          </w:p>
        </w:tc>
      </w:tr>
      <w:tr w:rsidR="00C70DC3" w:rsidTr="00C70DC3">
        <w:trPr>
          <w:trHeight w:val="2161"/>
        </w:trPr>
        <w:tc>
          <w:tcPr>
            <w:tcW w:w="1838" w:type="dxa"/>
          </w:tcPr>
          <w:p w:rsidR="0071367D" w:rsidRDefault="009A3561" w:rsidP="009A3561">
            <w:r w:rsidRPr="00F401AF">
              <w:rPr>
                <w:b/>
              </w:rPr>
              <w:t>Level 3</w:t>
            </w:r>
            <w:r>
              <w:t xml:space="preserve"> (Dispersed housing</w:t>
            </w:r>
            <w:r w:rsidR="00B013B4">
              <w:t xml:space="preserve"> – mix of shared and self-contained</w:t>
            </w:r>
            <w:r>
              <w:t>)</w:t>
            </w:r>
          </w:p>
        </w:tc>
        <w:tc>
          <w:tcPr>
            <w:tcW w:w="3402" w:type="dxa"/>
          </w:tcPr>
          <w:p w:rsidR="0071367D" w:rsidRDefault="00E827C1" w:rsidP="00E827C1">
            <w:pPr>
              <w:pStyle w:val="ListParagraph"/>
              <w:numPr>
                <w:ilvl w:val="0"/>
                <w:numId w:val="5"/>
              </w:numPr>
              <w:ind w:left="359" w:hanging="284"/>
            </w:pPr>
            <w:r>
              <w:t xml:space="preserve">Staff </w:t>
            </w:r>
            <w:r w:rsidR="00BA26AA">
              <w:t xml:space="preserve">not on site but </w:t>
            </w:r>
            <w:r>
              <w:t>available 9-5 Mon-Fri</w:t>
            </w:r>
          </w:p>
          <w:p w:rsidR="00E827C1" w:rsidRDefault="00E827C1" w:rsidP="00E827C1">
            <w:pPr>
              <w:pStyle w:val="ListParagraph"/>
              <w:numPr>
                <w:ilvl w:val="0"/>
                <w:numId w:val="5"/>
              </w:numPr>
              <w:ind w:left="359" w:hanging="284"/>
            </w:pPr>
            <w:r>
              <w:t>Group sessions</w:t>
            </w:r>
          </w:p>
          <w:p w:rsidR="00E827C1" w:rsidRDefault="00E827C1" w:rsidP="00E827C1">
            <w:pPr>
              <w:pStyle w:val="ListParagraph"/>
              <w:numPr>
                <w:ilvl w:val="0"/>
                <w:numId w:val="5"/>
              </w:numPr>
              <w:ind w:left="359" w:hanging="284"/>
            </w:pPr>
            <w:r>
              <w:t>Working to embed recovery</w:t>
            </w:r>
          </w:p>
          <w:p w:rsidR="00C70DC3" w:rsidRDefault="00F401AF" w:rsidP="00B013B4">
            <w:pPr>
              <w:pStyle w:val="ListParagraph"/>
              <w:numPr>
                <w:ilvl w:val="0"/>
                <w:numId w:val="5"/>
              </w:numPr>
              <w:ind w:left="359" w:hanging="284"/>
            </w:pPr>
            <w:r>
              <w:t>Focus on move-on</w:t>
            </w:r>
          </w:p>
        </w:tc>
        <w:tc>
          <w:tcPr>
            <w:tcW w:w="3969" w:type="dxa"/>
          </w:tcPr>
          <w:p w:rsidR="0071367D" w:rsidRDefault="00E827C1" w:rsidP="009A3561">
            <w:pPr>
              <w:pStyle w:val="ListParagraph"/>
              <w:numPr>
                <w:ilvl w:val="0"/>
                <w:numId w:val="4"/>
              </w:numPr>
              <w:ind w:left="405" w:hanging="284"/>
            </w:pPr>
            <w:r>
              <w:t xml:space="preserve">Good level of engagement with staff, attending </w:t>
            </w:r>
            <w:proofErr w:type="spellStart"/>
            <w:r>
              <w:t>keywork</w:t>
            </w:r>
            <w:proofErr w:type="spellEnd"/>
            <w:r>
              <w:t xml:space="preserve"> and progressing with action plan</w:t>
            </w:r>
          </w:p>
          <w:p w:rsidR="00E827C1" w:rsidRDefault="00E827C1" w:rsidP="009A3561">
            <w:pPr>
              <w:pStyle w:val="ListParagraph"/>
              <w:numPr>
                <w:ilvl w:val="0"/>
                <w:numId w:val="4"/>
              </w:numPr>
              <w:ind w:left="405" w:hanging="284"/>
            </w:pPr>
            <w:r>
              <w:t>Repayment plans in place for clients with debts</w:t>
            </w:r>
          </w:p>
          <w:p w:rsidR="00E827C1" w:rsidRDefault="00E827C1" w:rsidP="009A3561">
            <w:pPr>
              <w:pStyle w:val="ListParagraph"/>
              <w:numPr>
                <w:ilvl w:val="0"/>
                <w:numId w:val="4"/>
              </w:numPr>
              <w:ind w:left="405" w:hanging="284"/>
            </w:pPr>
            <w:r>
              <w:t>Engaging with specialist support services where required</w:t>
            </w:r>
          </w:p>
        </w:tc>
        <w:tc>
          <w:tcPr>
            <w:tcW w:w="2977" w:type="dxa"/>
          </w:tcPr>
          <w:p w:rsidR="0071367D" w:rsidRDefault="00C70DC3" w:rsidP="00C70DC3">
            <w:pPr>
              <w:pStyle w:val="ListParagraph"/>
              <w:numPr>
                <w:ilvl w:val="0"/>
                <w:numId w:val="4"/>
              </w:numPr>
              <w:ind w:left="459" w:hanging="283"/>
            </w:pPr>
            <w:r>
              <w:t>2 dog spaces</w:t>
            </w:r>
          </w:p>
          <w:p w:rsidR="00C70DC3" w:rsidRDefault="00C70DC3" w:rsidP="00C70DC3">
            <w:pPr>
              <w:pStyle w:val="ListParagraph"/>
              <w:numPr>
                <w:ilvl w:val="0"/>
                <w:numId w:val="4"/>
              </w:numPr>
              <w:ind w:left="459" w:hanging="283"/>
            </w:pPr>
            <w:r>
              <w:t>Some disability adapted flats</w:t>
            </w:r>
          </w:p>
          <w:p w:rsidR="00C70DC3" w:rsidRDefault="00E64DD4" w:rsidP="00C70DC3">
            <w:pPr>
              <w:pStyle w:val="ListParagraph"/>
              <w:numPr>
                <w:ilvl w:val="0"/>
                <w:numId w:val="4"/>
              </w:numPr>
              <w:ind w:left="459" w:hanging="283"/>
            </w:pPr>
            <w:r>
              <w:t>Couples can be accommodated</w:t>
            </w:r>
          </w:p>
        </w:tc>
        <w:tc>
          <w:tcPr>
            <w:tcW w:w="1762" w:type="dxa"/>
          </w:tcPr>
          <w:p w:rsidR="0071367D" w:rsidRDefault="00F401AF" w:rsidP="00F401AF">
            <w:r>
              <w:t>ASTs in place</w:t>
            </w:r>
          </w:p>
          <w:p w:rsidR="00C70DC3" w:rsidRDefault="00C70DC3" w:rsidP="00F401AF">
            <w:r>
              <w:t>Clients pay own utilities</w:t>
            </w:r>
          </w:p>
        </w:tc>
      </w:tr>
      <w:tr w:rsidR="00C70DC3" w:rsidTr="00C70DC3">
        <w:tc>
          <w:tcPr>
            <w:tcW w:w="1838" w:type="dxa"/>
          </w:tcPr>
          <w:p w:rsidR="0071367D" w:rsidRDefault="009A3561" w:rsidP="00B013B4">
            <w:r w:rsidRPr="00F401AF">
              <w:rPr>
                <w:b/>
              </w:rPr>
              <w:t>Level 4</w:t>
            </w:r>
            <w:r>
              <w:t xml:space="preserve"> (Dispersed Housing</w:t>
            </w:r>
            <w:r w:rsidR="00B013B4">
              <w:t xml:space="preserve"> – mainly self-contained</w:t>
            </w:r>
            <w:r>
              <w:t>)</w:t>
            </w:r>
          </w:p>
        </w:tc>
        <w:tc>
          <w:tcPr>
            <w:tcW w:w="3402" w:type="dxa"/>
          </w:tcPr>
          <w:p w:rsidR="00C70DC3" w:rsidRDefault="00C70DC3" w:rsidP="00E827C1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>
              <w:t>Staff not on site but available 9-5 Mon-Fri</w:t>
            </w:r>
          </w:p>
          <w:p w:rsidR="0071367D" w:rsidRDefault="00E827C1" w:rsidP="00E827C1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>
              <w:t xml:space="preserve">Fortnightly </w:t>
            </w:r>
            <w:proofErr w:type="spellStart"/>
            <w:r>
              <w:t>keywork</w:t>
            </w:r>
            <w:proofErr w:type="spellEnd"/>
          </w:p>
          <w:p w:rsidR="00E827C1" w:rsidRDefault="00E827C1" w:rsidP="00E827C1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>
              <w:t>Sustaining recovery</w:t>
            </w:r>
          </w:p>
          <w:p w:rsidR="00C70DC3" w:rsidRDefault="00F401AF" w:rsidP="00B013B4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>
              <w:t>Move-on</w:t>
            </w:r>
          </w:p>
        </w:tc>
        <w:tc>
          <w:tcPr>
            <w:tcW w:w="3969" w:type="dxa"/>
          </w:tcPr>
          <w:p w:rsidR="0071367D" w:rsidRDefault="00E827C1" w:rsidP="00E827C1">
            <w:pPr>
              <w:pStyle w:val="ListParagraph"/>
              <w:numPr>
                <w:ilvl w:val="0"/>
                <w:numId w:val="6"/>
              </w:numPr>
              <w:ind w:left="459" w:hanging="284"/>
            </w:pPr>
            <w:r>
              <w:t xml:space="preserve">Attending pre-arranged </w:t>
            </w:r>
            <w:proofErr w:type="spellStart"/>
            <w:r>
              <w:t>keywork</w:t>
            </w:r>
            <w:proofErr w:type="spellEnd"/>
          </w:p>
          <w:p w:rsidR="00E827C1" w:rsidRDefault="00E827C1" w:rsidP="00E827C1">
            <w:pPr>
              <w:pStyle w:val="ListParagraph"/>
              <w:numPr>
                <w:ilvl w:val="0"/>
                <w:numId w:val="6"/>
              </w:numPr>
              <w:ind w:left="459" w:hanging="284"/>
            </w:pPr>
            <w:r>
              <w:t>Can manage with</w:t>
            </w:r>
            <w:r w:rsidR="00F7208A">
              <w:t xml:space="preserve"> lower</w:t>
            </w:r>
            <w:r>
              <w:t xml:space="preserve"> level</w:t>
            </w:r>
            <w:r w:rsidR="00F7208A">
              <w:t>s</w:t>
            </w:r>
            <w:r>
              <w:t xml:space="preserve"> of staffing provided</w:t>
            </w:r>
          </w:p>
          <w:p w:rsidR="00E827C1" w:rsidRDefault="00E827C1" w:rsidP="00E827C1">
            <w:pPr>
              <w:pStyle w:val="ListParagraph"/>
              <w:numPr>
                <w:ilvl w:val="0"/>
                <w:numId w:val="6"/>
              </w:numPr>
              <w:ind w:left="459" w:hanging="284"/>
            </w:pPr>
            <w:r>
              <w:t>Engaging with other specialist support services where required</w:t>
            </w:r>
          </w:p>
        </w:tc>
        <w:tc>
          <w:tcPr>
            <w:tcW w:w="2977" w:type="dxa"/>
          </w:tcPr>
          <w:p w:rsidR="00C70DC3" w:rsidRDefault="00E827C1" w:rsidP="00C70DC3">
            <w:pPr>
              <w:pStyle w:val="ListParagraph"/>
              <w:numPr>
                <w:ilvl w:val="0"/>
                <w:numId w:val="6"/>
              </w:numPr>
              <w:ind w:left="450" w:hanging="284"/>
            </w:pPr>
            <w:r>
              <w:t>Some dog spaces</w:t>
            </w:r>
          </w:p>
          <w:p w:rsidR="00E827C1" w:rsidRDefault="00E827C1" w:rsidP="00C70DC3">
            <w:pPr>
              <w:pStyle w:val="ListParagraph"/>
              <w:numPr>
                <w:ilvl w:val="0"/>
                <w:numId w:val="6"/>
              </w:numPr>
              <w:ind w:left="450" w:hanging="284"/>
            </w:pPr>
            <w:r>
              <w:t>No fully adapted properties but some with level access</w:t>
            </w:r>
          </w:p>
          <w:p w:rsidR="00C70DC3" w:rsidRDefault="00C70DC3" w:rsidP="00E64DD4">
            <w:pPr>
              <w:pStyle w:val="ListParagraph"/>
              <w:numPr>
                <w:ilvl w:val="0"/>
                <w:numId w:val="6"/>
              </w:numPr>
              <w:ind w:left="450" w:hanging="284"/>
            </w:pPr>
            <w:r>
              <w:t>Couples</w:t>
            </w:r>
            <w:r w:rsidR="00E64DD4">
              <w:t xml:space="preserve"> can be accommodated</w:t>
            </w:r>
          </w:p>
        </w:tc>
        <w:tc>
          <w:tcPr>
            <w:tcW w:w="1762" w:type="dxa"/>
          </w:tcPr>
          <w:p w:rsidR="0071367D" w:rsidRDefault="00F401AF" w:rsidP="00F401AF">
            <w:r>
              <w:t>ASTs in place</w:t>
            </w:r>
          </w:p>
          <w:p w:rsidR="00C70DC3" w:rsidRDefault="00C70DC3" w:rsidP="00F401AF">
            <w:r>
              <w:t>Some require 1 week rent in advance</w:t>
            </w:r>
          </w:p>
        </w:tc>
      </w:tr>
    </w:tbl>
    <w:p w:rsidR="0071367D" w:rsidRDefault="0071367D" w:rsidP="00E827C1">
      <w:pPr>
        <w:jc w:val="both"/>
      </w:pPr>
    </w:p>
    <w:sectPr w:rsidR="0071367D" w:rsidSect="0007555D">
      <w:headerReference w:type="default" r:id="rId8"/>
      <w:pgSz w:w="16838" w:h="11906" w:orient="landscape"/>
      <w:pgMar w:top="127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91" w:rsidRDefault="006F3291" w:rsidP="00827176">
      <w:pPr>
        <w:spacing w:after="0" w:line="240" w:lineRule="auto"/>
      </w:pPr>
      <w:r>
        <w:separator/>
      </w:r>
    </w:p>
  </w:endnote>
  <w:endnote w:type="continuationSeparator" w:id="0">
    <w:p w:rsidR="006F3291" w:rsidRDefault="006F3291" w:rsidP="0082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91" w:rsidRDefault="006F3291" w:rsidP="00827176">
      <w:pPr>
        <w:spacing w:after="0" w:line="240" w:lineRule="auto"/>
      </w:pPr>
      <w:r>
        <w:separator/>
      </w:r>
    </w:p>
  </w:footnote>
  <w:footnote w:type="continuationSeparator" w:id="0">
    <w:p w:rsidR="006F3291" w:rsidRDefault="006F3291" w:rsidP="0082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76" w:rsidRDefault="00827176" w:rsidP="00827176">
    <w:pPr>
      <w:pStyle w:val="Header"/>
    </w:pPr>
    <w:r>
      <w:rPr>
        <w:rFonts w:ascii="Lucida Handwriting" w:hAnsi="Lucida Handwriting"/>
        <w:noProof/>
        <w:color w:val="000000"/>
        <w:sz w:val="28"/>
        <w:szCs w:val="28"/>
        <w:lang w:eastAsia="en-GB"/>
      </w:rPr>
      <w:drawing>
        <wp:inline distT="0" distB="0" distL="0" distR="0" wp14:anchorId="2AE65ABF" wp14:editId="623418CB">
          <wp:extent cx="1247282" cy="620202"/>
          <wp:effectExtent l="0" t="0" r="0" b="8890"/>
          <wp:docPr id="7" name="Picture 7" descr="cid:image001.png@01D0ACFD.380C2D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ACFD.380C2D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80" cy="6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695B78">
      <w:rPr>
        <w:noProof/>
        <w:lang w:eastAsia="en-GB"/>
      </w:rPr>
      <w:drawing>
        <wp:inline distT="0" distB="0" distL="0" distR="0" wp14:anchorId="03A8018F" wp14:editId="5F508E4F">
          <wp:extent cx="1357953" cy="374598"/>
          <wp:effectExtent l="0" t="0" r="0" b="6985"/>
          <wp:docPr id="8" name="Picture 2" descr="http://www.netmagmedia.co.uk/wp-content/uploads/2015/06/image0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netmagmedia.co.uk/wp-content/uploads/2015/06/image001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053" b="36173"/>
                  <a:stretch/>
                </pic:blipFill>
                <pic:spPr bwMode="auto">
                  <a:xfrm>
                    <a:off x="0" y="0"/>
                    <a:ext cx="1357823" cy="37456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color w:val="1F497D"/>
        <w:lang w:eastAsia="en-GB"/>
      </w:rPr>
      <w:drawing>
        <wp:inline distT="0" distB="0" distL="0" distR="0" wp14:anchorId="307051DB" wp14:editId="6000FA46">
          <wp:extent cx="1139588" cy="477353"/>
          <wp:effectExtent l="0" t="0" r="3810" b="0"/>
          <wp:docPr id="9" name="Picture 9" descr="StM_Logo_Main_web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Main_web (002)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34" cy="47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en-GB"/>
      </w:rPr>
      <w:drawing>
        <wp:inline distT="0" distB="0" distL="0" distR="0" wp14:anchorId="208E46B8" wp14:editId="0D3BBAEB">
          <wp:extent cx="1414328" cy="320722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_logo_rgb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58" cy="320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77E7415" wp14:editId="593811A2">
          <wp:extent cx="5731510" cy="5382397"/>
          <wp:effectExtent l="0" t="0" r="2540" b="8890"/>
          <wp:docPr id="11" name="Picture 11" descr="Image result for riverside hous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riverside housing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8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7176" w:rsidRDefault="00827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17C"/>
    <w:multiLevelType w:val="hybridMultilevel"/>
    <w:tmpl w:val="0F58F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5479"/>
    <w:multiLevelType w:val="hybridMultilevel"/>
    <w:tmpl w:val="DA4042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226331"/>
    <w:multiLevelType w:val="hybridMultilevel"/>
    <w:tmpl w:val="5632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34DC"/>
    <w:multiLevelType w:val="hybridMultilevel"/>
    <w:tmpl w:val="F48E78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1344E"/>
    <w:multiLevelType w:val="hybridMultilevel"/>
    <w:tmpl w:val="B500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91355"/>
    <w:multiLevelType w:val="hybridMultilevel"/>
    <w:tmpl w:val="CA80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752F0"/>
    <w:multiLevelType w:val="hybridMultilevel"/>
    <w:tmpl w:val="489AC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64577"/>
    <w:multiLevelType w:val="hybridMultilevel"/>
    <w:tmpl w:val="DCDA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7D"/>
    <w:rsid w:val="00006478"/>
    <w:rsid w:val="0007555D"/>
    <w:rsid w:val="003B741B"/>
    <w:rsid w:val="00582204"/>
    <w:rsid w:val="006F3291"/>
    <w:rsid w:val="0071367D"/>
    <w:rsid w:val="00757B8F"/>
    <w:rsid w:val="007E55CF"/>
    <w:rsid w:val="00827176"/>
    <w:rsid w:val="009A3561"/>
    <w:rsid w:val="00A303AD"/>
    <w:rsid w:val="00A655C0"/>
    <w:rsid w:val="00B013B4"/>
    <w:rsid w:val="00B31381"/>
    <w:rsid w:val="00BA26AA"/>
    <w:rsid w:val="00C12796"/>
    <w:rsid w:val="00C70DC3"/>
    <w:rsid w:val="00D6371A"/>
    <w:rsid w:val="00DE3D8A"/>
    <w:rsid w:val="00E64DD4"/>
    <w:rsid w:val="00E827C1"/>
    <w:rsid w:val="00F04EE5"/>
    <w:rsid w:val="00F401AF"/>
    <w:rsid w:val="00F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D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36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39"/>
    <w:rsid w:val="0071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7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7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76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D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36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39"/>
    <w:rsid w:val="0071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7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7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76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cid:image001.png@01D3AFDD.2EBF046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cid:image001.jpg@01D3A3FD.549E4BF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Mungos Broadway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Denyer</dc:creator>
  <cp:lastModifiedBy>Jane Greatorex</cp:lastModifiedBy>
  <cp:revision>2</cp:revision>
  <dcterms:created xsi:type="dcterms:W3CDTF">2019-04-25T10:17:00Z</dcterms:created>
  <dcterms:modified xsi:type="dcterms:W3CDTF">2019-04-25T10:17:00Z</dcterms:modified>
</cp:coreProperties>
</file>